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6D" w:rsidRPr="008465AC" w:rsidRDefault="001568DC" w:rsidP="001568DC">
      <w:pPr>
        <w:jc w:val="center"/>
        <w:rPr>
          <w:rFonts w:ascii="仿宋" w:eastAsia="仿宋" w:hAnsi="仿宋"/>
          <w:b/>
          <w:sz w:val="36"/>
          <w:szCs w:val="36"/>
        </w:rPr>
      </w:pPr>
      <w:r w:rsidRPr="008465AC">
        <w:rPr>
          <w:rFonts w:ascii="仿宋" w:eastAsia="仿宋" w:hAnsi="仿宋" w:hint="eastAsia"/>
          <w:b/>
          <w:sz w:val="36"/>
          <w:szCs w:val="36"/>
        </w:rPr>
        <w:t>四川川投凉山投资发展有限责任公司</w:t>
      </w:r>
    </w:p>
    <w:p w:rsidR="001568DC" w:rsidRPr="008465AC" w:rsidRDefault="001568DC" w:rsidP="001568DC">
      <w:pPr>
        <w:jc w:val="center"/>
        <w:rPr>
          <w:rFonts w:ascii="仿宋" w:eastAsia="仿宋" w:hAnsi="仿宋"/>
          <w:b/>
          <w:sz w:val="36"/>
          <w:szCs w:val="36"/>
        </w:rPr>
      </w:pPr>
      <w:r w:rsidRPr="008465AC">
        <w:rPr>
          <w:rFonts w:ascii="仿宋" w:eastAsia="仿宋" w:hAnsi="仿宋" w:hint="eastAsia"/>
          <w:b/>
          <w:sz w:val="36"/>
          <w:szCs w:val="36"/>
        </w:rPr>
        <w:t>清算项目</w:t>
      </w:r>
    </w:p>
    <w:p w:rsidR="001568DC" w:rsidRDefault="001568DC" w:rsidP="001568DC">
      <w:pPr>
        <w:jc w:val="center"/>
        <w:rPr>
          <w:rFonts w:ascii="仿宋" w:eastAsia="仿宋" w:hAnsi="仿宋"/>
          <w:b/>
          <w:sz w:val="36"/>
          <w:szCs w:val="36"/>
        </w:rPr>
      </w:pPr>
      <w:r w:rsidRPr="008465AC">
        <w:rPr>
          <w:rFonts w:ascii="仿宋" w:eastAsia="仿宋" w:hAnsi="仿宋" w:hint="eastAsia"/>
          <w:b/>
          <w:sz w:val="36"/>
          <w:szCs w:val="36"/>
        </w:rPr>
        <w:t>资产评估情况公示</w:t>
      </w:r>
    </w:p>
    <w:p w:rsidR="001278C5" w:rsidRPr="008465AC" w:rsidRDefault="001278C5" w:rsidP="001568DC">
      <w:pPr>
        <w:jc w:val="center"/>
        <w:rPr>
          <w:rFonts w:ascii="仿宋" w:eastAsia="仿宋" w:hAnsi="仿宋"/>
          <w:b/>
          <w:sz w:val="36"/>
          <w:szCs w:val="36"/>
        </w:rPr>
      </w:pPr>
    </w:p>
    <w:p w:rsidR="001069A5" w:rsidRPr="001069A5" w:rsidRDefault="00F856E9" w:rsidP="00C63B71">
      <w:pPr>
        <w:snapToGrid w:val="0"/>
        <w:spacing w:line="560" w:lineRule="exact"/>
        <w:ind w:rightChars="-68" w:right="-143" w:firstLineChars="176" w:firstLine="493"/>
        <w:rPr>
          <w:rFonts w:ascii="仿宋" w:eastAsia="仿宋" w:hAnsi="仿宋"/>
          <w:sz w:val="28"/>
          <w:szCs w:val="28"/>
        </w:rPr>
      </w:pPr>
      <w:r w:rsidRPr="001069A5">
        <w:rPr>
          <w:rFonts w:ascii="仿宋" w:eastAsia="仿宋" w:hAnsi="仿宋" w:hint="eastAsia"/>
          <w:sz w:val="28"/>
          <w:szCs w:val="28"/>
        </w:rPr>
        <w:t>按照国有资产产权管理的相关规定，四川川投凉山投资发展有限责任公司根据中介机构选聘程序选聘成都经卫瑞丰资产评估事务所为公司清算工作中的评估单位。</w:t>
      </w:r>
      <w:r w:rsidR="002D2C3F" w:rsidRPr="001069A5">
        <w:rPr>
          <w:rFonts w:ascii="仿宋" w:eastAsia="仿宋" w:hAnsi="仿宋" w:hint="eastAsia"/>
          <w:sz w:val="28"/>
          <w:szCs w:val="28"/>
        </w:rPr>
        <w:t>现将资产评估情况予以公示：</w:t>
      </w:r>
    </w:p>
    <w:p w:rsidR="001069A5" w:rsidRPr="001069A5" w:rsidRDefault="001069A5" w:rsidP="00C63B71">
      <w:pPr>
        <w:snapToGrid w:val="0"/>
        <w:spacing w:line="560" w:lineRule="exact"/>
        <w:ind w:rightChars="-68" w:right="-143" w:firstLineChars="176" w:firstLine="493"/>
        <w:rPr>
          <w:rFonts w:ascii="仿宋" w:eastAsia="仿宋" w:hAnsi="仿宋"/>
          <w:sz w:val="28"/>
          <w:szCs w:val="28"/>
        </w:rPr>
      </w:pPr>
      <w:r w:rsidRPr="001069A5">
        <w:rPr>
          <w:rFonts w:ascii="仿宋" w:eastAsia="仿宋" w:hAnsi="仿宋" w:hint="eastAsia"/>
          <w:sz w:val="28"/>
          <w:szCs w:val="28"/>
        </w:rPr>
        <w:t>一、评估目的：</w:t>
      </w:r>
      <w:bookmarkStart w:id="0" w:name="_Hlk55565713"/>
      <w:r w:rsidRPr="001069A5">
        <w:rPr>
          <w:rFonts w:ascii="仿宋" w:eastAsia="仿宋" w:hAnsi="仿宋" w:hint="eastAsia"/>
          <w:sz w:val="28"/>
          <w:szCs w:val="28"/>
        </w:rPr>
        <w:t>四川川投凉山投资发展有限责任公司决定停止经营、并解散公司</w:t>
      </w:r>
      <w:bookmarkEnd w:id="0"/>
      <w:r w:rsidRPr="001069A5">
        <w:rPr>
          <w:rFonts w:ascii="仿宋" w:eastAsia="仿宋" w:hAnsi="仿宋" w:hint="eastAsia"/>
          <w:sz w:val="28"/>
          <w:szCs w:val="28"/>
        </w:rPr>
        <w:t>，为此需对其整体资产价值进行评估，以提供四川川投凉山投资发展有限责任公司核实整体资产价值的参考依据。</w:t>
      </w:r>
    </w:p>
    <w:p w:rsidR="001069A5" w:rsidRPr="001069A5" w:rsidRDefault="001069A5" w:rsidP="00C63B71">
      <w:pPr>
        <w:adjustRightInd w:val="0"/>
        <w:snapToGrid w:val="0"/>
        <w:spacing w:line="560" w:lineRule="exact"/>
        <w:ind w:rightChars="-68" w:right="-143" w:firstLineChars="200" w:firstLine="560"/>
        <w:textAlignment w:val="baseline"/>
        <w:rPr>
          <w:rFonts w:ascii="仿宋" w:eastAsia="仿宋" w:hAnsi="仿宋"/>
          <w:sz w:val="28"/>
          <w:szCs w:val="28"/>
        </w:rPr>
      </w:pPr>
      <w:r w:rsidRPr="001069A5">
        <w:rPr>
          <w:rFonts w:ascii="仿宋" w:eastAsia="仿宋" w:hAnsi="仿宋" w:hint="eastAsia"/>
          <w:sz w:val="28"/>
          <w:szCs w:val="28"/>
        </w:rPr>
        <w:t>二、评估对象与评估范围：评估对象为四川川投凉山投资发展有限责任公司整体资产的价值；评估范围为四川川投凉山投资发展有限责任公司的流动资产、非流动资产，流动负债及非流动负债，具体包括：资产总额</w:t>
      </w:r>
      <w:bookmarkStart w:id="1" w:name="_Hlk55562815"/>
      <w:r w:rsidRPr="001069A5">
        <w:rPr>
          <w:rFonts w:ascii="仿宋" w:eastAsia="仿宋" w:hAnsi="仿宋"/>
          <w:sz w:val="28"/>
          <w:szCs w:val="28"/>
        </w:rPr>
        <w:t>4,044,263.02</w:t>
      </w:r>
      <w:r w:rsidRPr="001069A5">
        <w:rPr>
          <w:rFonts w:ascii="仿宋" w:eastAsia="仿宋" w:hAnsi="仿宋" w:hint="eastAsia"/>
          <w:sz w:val="28"/>
          <w:szCs w:val="28"/>
        </w:rPr>
        <w:t>元</w:t>
      </w:r>
      <w:bookmarkEnd w:id="1"/>
      <w:r w:rsidRPr="001069A5">
        <w:rPr>
          <w:rFonts w:ascii="仿宋" w:eastAsia="仿宋" w:hAnsi="仿宋" w:hint="eastAsia"/>
          <w:sz w:val="28"/>
          <w:szCs w:val="28"/>
        </w:rPr>
        <w:t>，其中：流动资产</w:t>
      </w:r>
      <w:r w:rsidRPr="001069A5">
        <w:rPr>
          <w:rFonts w:ascii="仿宋" w:eastAsia="仿宋" w:hAnsi="仿宋"/>
          <w:sz w:val="28"/>
          <w:szCs w:val="28"/>
        </w:rPr>
        <w:t>3,950,481.88</w:t>
      </w:r>
      <w:r w:rsidRPr="001069A5">
        <w:rPr>
          <w:rFonts w:ascii="仿宋" w:eastAsia="仿宋" w:hAnsi="仿宋" w:hint="eastAsia"/>
          <w:sz w:val="28"/>
          <w:szCs w:val="28"/>
        </w:rPr>
        <w:t>元、非流动资产</w:t>
      </w:r>
      <w:r w:rsidRPr="001069A5">
        <w:rPr>
          <w:rFonts w:ascii="仿宋" w:eastAsia="仿宋" w:hAnsi="仿宋"/>
          <w:sz w:val="28"/>
          <w:szCs w:val="28"/>
        </w:rPr>
        <w:t>93,781.14</w:t>
      </w:r>
      <w:r w:rsidRPr="001069A5">
        <w:rPr>
          <w:rFonts w:ascii="仿宋" w:eastAsia="仿宋" w:hAnsi="仿宋" w:hint="eastAsia"/>
          <w:sz w:val="28"/>
          <w:szCs w:val="28"/>
        </w:rPr>
        <w:t>元；负债总额</w:t>
      </w:r>
      <w:r w:rsidRPr="001069A5">
        <w:rPr>
          <w:rFonts w:ascii="仿宋" w:eastAsia="仿宋" w:hAnsi="仿宋"/>
          <w:sz w:val="28"/>
          <w:szCs w:val="28"/>
        </w:rPr>
        <w:t>99,300.00</w:t>
      </w:r>
      <w:r w:rsidRPr="001069A5">
        <w:rPr>
          <w:rFonts w:ascii="仿宋" w:eastAsia="仿宋" w:hAnsi="仿宋" w:hint="eastAsia"/>
          <w:sz w:val="28"/>
          <w:szCs w:val="28"/>
        </w:rPr>
        <w:t>元，其中：流动负债</w:t>
      </w:r>
      <w:r w:rsidRPr="001069A5">
        <w:rPr>
          <w:rFonts w:ascii="仿宋" w:eastAsia="仿宋" w:hAnsi="仿宋"/>
          <w:sz w:val="28"/>
          <w:szCs w:val="28"/>
        </w:rPr>
        <w:t>99,300.00</w:t>
      </w:r>
      <w:r w:rsidRPr="001069A5">
        <w:rPr>
          <w:rFonts w:ascii="仿宋" w:eastAsia="仿宋" w:hAnsi="仿宋" w:hint="eastAsia"/>
          <w:sz w:val="28"/>
          <w:szCs w:val="28"/>
        </w:rPr>
        <w:t>元，非流动负债0.00万元；所有者权益</w:t>
      </w:r>
      <w:r w:rsidRPr="001069A5">
        <w:rPr>
          <w:rFonts w:ascii="仿宋" w:eastAsia="仿宋" w:hAnsi="仿宋"/>
          <w:sz w:val="28"/>
          <w:szCs w:val="28"/>
        </w:rPr>
        <w:t>3,944,963.02</w:t>
      </w:r>
      <w:r w:rsidRPr="001069A5">
        <w:rPr>
          <w:rFonts w:ascii="仿宋" w:eastAsia="仿宋" w:hAnsi="仿宋" w:hint="eastAsia"/>
          <w:sz w:val="28"/>
          <w:szCs w:val="28"/>
        </w:rPr>
        <w:t>元。</w:t>
      </w:r>
    </w:p>
    <w:p w:rsidR="001069A5" w:rsidRPr="001069A5" w:rsidRDefault="001069A5" w:rsidP="00C63B71">
      <w:pPr>
        <w:adjustRightInd w:val="0"/>
        <w:snapToGrid w:val="0"/>
        <w:spacing w:line="560" w:lineRule="exact"/>
        <w:ind w:rightChars="-68" w:right="-143" w:firstLineChars="200" w:firstLine="560"/>
        <w:textAlignment w:val="baseline"/>
        <w:rPr>
          <w:rFonts w:ascii="仿宋" w:eastAsia="仿宋" w:hAnsi="仿宋"/>
          <w:sz w:val="28"/>
          <w:szCs w:val="28"/>
        </w:rPr>
      </w:pPr>
      <w:r w:rsidRPr="001069A5">
        <w:rPr>
          <w:rFonts w:ascii="仿宋" w:eastAsia="仿宋" w:hAnsi="仿宋" w:hint="eastAsia"/>
          <w:sz w:val="28"/>
          <w:szCs w:val="28"/>
        </w:rPr>
        <w:t>三、评估基准日：2020年10月19日。</w:t>
      </w:r>
    </w:p>
    <w:p w:rsidR="001069A5" w:rsidRPr="001069A5" w:rsidRDefault="001069A5" w:rsidP="00C63B71">
      <w:pPr>
        <w:adjustRightInd w:val="0"/>
        <w:snapToGrid w:val="0"/>
        <w:spacing w:line="560" w:lineRule="exact"/>
        <w:ind w:rightChars="-68" w:right="-143" w:firstLineChars="200" w:firstLine="560"/>
        <w:textAlignment w:val="baseline"/>
        <w:rPr>
          <w:rFonts w:ascii="仿宋" w:eastAsia="仿宋" w:hAnsi="仿宋"/>
          <w:sz w:val="28"/>
          <w:szCs w:val="28"/>
        </w:rPr>
      </w:pPr>
      <w:r w:rsidRPr="001069A5">
        <w:rPr>
          <w:rFonts w:ascii="仿宋" w:eastAsia="仿宋" w:hAnsi="仿宋" w:hint="eastAsia"/>
          <w:sz w:val="28"/>
          <w:szCs w:val="28"/>
        </w:rPr>
        <w:t>四、价值类型：清算价值。</w:t>
      </w:r>
    </w:p>
    <w:p w:rsidR="001069A5" w:rsidRPr="001069A5" w:rsidRDefault="001069A5" w:rsidP="00C63B71">
      <w:pPr>
        <w:adjustRightInd w:val="0"/>
        <w:snapToGrid w:val="0"/>
        <w:spacing w:line="560" w:lineRule="exact"/>
        <w:ind w:rightChars="-68" w:right="-143" w:firstLineChars="200" w:firstLine="560"/>
        <w:textAlignment w:val="baseline"/>
        <w:rPr>
          <w:rFonts w:ascii="仿宋" w:eastAsia="仿宋" w:hAnsi="仿宋"/>
          <w:sz w:val="28"/>
          <w:szCs w:val="28"/>
        </w:rPr>
      </w:pPr>
      <w:r w:rsidRPr="001069A5">
        <w:rPr>
          <w:rFonts w:ascii="仿宋" w:eastAsia="仿宋" w:hAnsi="仿宋" w:hint="eastAsia"/>
          <w:sz w:val="28"/>
          <w:szCs w:val="28"/>
        </w:rPr>
        <w:t>五、评估方法：成本法。</w:t>
      </w:r>
    </w:p>
    <w:p w:rsidR="001069A5" w:rsidRPr="001069A5" w:rsidRDefault="001069A5" w:rsidP="00C63B71">
      <w:pPr>
        <w:adjustRightInd w:val="0"/>
        <w:snapToGrid w:val="0"/>
        <w:spacing w:line="560" w:lineRule="exact"/>
        <w:ind w:rightChars="-68" w:right="-143" w:firstLineChars="200" w:firstLine="560"/>
        <w:textAlignment w:val="baseline"/>
        <w:rPr>
          <w:rFonts w:ascii="仿宋" w:eastAsia="仿宋" w:hAnsi="仿宋"/>
          <w:sz w:val="28"/>
          <w:szCs w:val="28"/>
        </w:rPr>
      </w:pPr>
      <w:r w:rsidRPr="001069A5">
        <w:rPr>
          <w:rFonts w:ascii="仿宋" w:eastAsia="仿宋" w:hAnsi="仿宋" w:hint="eastAsia"/>
          <w:sz w:val="28"/>
          <w:szCs w:val="28"/>
        </w:rPr>
        <w:t>六、评估结论：</w:t>
      </w:r>
    </w:p>
    <w:p w:rsidR="001069A5" w:rsidRPr="001069A5" w:rsidRDefault="001069A5" w:rsidP="00C63B71">
      <w:pPr>
        <w:adjustRightInd w:val="0"/>
        <w:spacing w:line="560" w:lineRule="exact"/>
        <w:ind w:rightChars="-68" w:right="-143" w:firstLineChars="236" w:firstLine="661"/>
        <w:textAlignment w:val="baseline"/>
        <w:rPr>
          <w:rFonts w:ascii="仿宋" w:eastAsia="仿宋" w:hAnsi="仿宋"/>
          <w:sz w:val="28"/>
          <w:szCs w:val="28"/>
        </w:rPr>
      </w:pPr>
      <w:r w:rsidRPr="001069A5">
        <w:rPr>
          <w:rFonts w:ascii="仿宋" w:eastAsia="仿宋" w:hAnsi="仿宋" w:hint="eastAsia"/>
          <w:sz w:val="28"/>
          <w:szCs w:val="28"/>
        </w:rPr>
        <w:t>四川川投凉山投资发展有限责任公司清算价值的</w:t>
      </w:r>
      <w:r w:rsidRPr="001069A5">
        <w:rPr>
          <w:rFonts w:ascii="仿宋" w:eastAsia="仿宋" w:hAnsi="仿宋"/>
          <w:sz w:val="28"/>
          <w:szCs w:val="28"/>
        </w:rPr>
        <w:t>评估</w:t>
      </w:r>
      <w:r w:rsidRPr="001069A5">
        <w:rPr>
          <w:rFonts w:ascii="仿宋" w:eastAsia="仿宋" w:hAnsi="仿宋" w:hint="eastAsia"/>
          <w:sz w:val="28"/>
          <w:szCs w:val="28"/>
        </w:rPr>
        <w:t>结果情况为</w:t>
      </w:r>
      <w:r w:rsidRPr="001069A5">
        <w:rPr>
          <w:rFonts w:ascii="仿宋" w:eastAsia="仿宋" w:hAnsi="仿宋"/>
          <w:sz w:val="28"/>
          <w:szCs w:val="28"/>
        </w:rPr>
        <w:t>：</w:t>
      </w:r>
    </w:p>
    <w:p w:rsidR="001069A5" w:rsidRPr="001069A5" w:rsidRDefault="001069A5" w:rsidP="00C63B71">
      <w:pPr>
        <w:adjustRightInd w:val="0"/>
        <w:snapToGrid w:val="0"/>
        <w:spacing w:line="560" w:lineRule="exact"/>
        <w:ind w:rightChars="-68" w:right="-143" w:firstLineChars="200" w:firstLine="560"/>
        <w:textAlignment w:val="baseline"/>
        <w:rPr>
          <w:rFonts w:ascii="仿宋" w:eastAsia="仿宋" w:hAnsi="仿宋"/>
          <w:sz w:val="28"/>
          <w:szCs w:val="28"/>
        </w:rPr>
      </w:pPr>
      <w:r w:rsidRPr="001069A5">
        <w:rPr>
          <w:rFonts w:ascii="仿宋" w:eastAsia="仿宋" w:hAnsi="仿宋" w:hint="eastAsia"/>
          <w:sz w:val="28"/>
          <w:szCs w:val="28"/>
        </w:rPr>
        <w:t>评估前账面资产总计</w:t>
      </w:r>
      <w:r w:rsidRPr="001069A5">
        <w:rPr>
          <w:rFonts w:ascii="仿宋" w:eastAsia="仿宋" w:hAnsi="仿宋"/>
          <w:sz w:val="28"/>
          <w:szCs w:val="28"/>
        </w:rPr>
        <w:t>404.43</w:t>
      </w:r>
      <w:r w:rsidRPr="001069A5">
        <w:rPr>
          <w:rFonts w:ascii="仿宋" w:eastAsia="仿宋" w:hAnsi="仿宋" w:hint="eastAsia"/>
          <w:sz w:val="28"/>
          <w:szCs w:val="28"/>
        </w:rPr>
        <w:t>万元，评估价值</w:t>
      </w:r>
      <w:r w:rsidRPr="001069A5">
        <w:rPr>
          <w:rFonts w:ascii="仿宋" w:eastAsia="仿宋" w:hAnsi="仿宋"/>
          <w:sz w:val="28"/>
          <w:szCs w:val="28"/>
        </w:rPr>
        <w:t>401.44</w:t>
      </w:r>
      <w:r w:rsidRPr="001069A5">
        <w:rPr>
          <w:rFonts w:ascii="仿宋" w:eastAsia="仿宋" w:hAnsi="仿宋" w:hint="eastAsia"/>
          <w:sz w:val="28"/>
          <w:szCs w:val="28"/>
        </w:rPr>
        <w:t>万元，评估增值</w:t>
      </w:r>
      <w:r w:rsidRPr="001069A5">
        <w:rPr>
          <w:rFonts w:ascii="仿宋" w:eastAsia="仿宋" w:hAnsi="仿宋"/>
          <w:sz w:val="28"/>
          <w:szCs w:val="28"/>
        </w:rPr>
        <w:t>-2.99</w:t>
      </w:r>
      <w:r w:rsidRPr="001069A5">
        <w:rPr>
          <w:rFonts w:ascii="仿宋" w:eastAsia="仿宋" w:hAnsi="仿宋" w:hint="eastAsia"/>
          <w:sz w:val="28"/>
          <w:szCs w:val="28"/>
        </w:rPr>
        <w:t>万元，增值率</w:t>
      </w:r>
      <w:r w:rsidRPr="001069A5">
        <w:rPr>
          <w:rFonts w:ascii="仿宋" w:eastAsia="仿宋" w:hAnsi="仿宋"/>
          <w:sz w:val="28"/>
          <w:szCs w:val="28"/>
        </w:rPr>
        <w:t>-0.74 %</w:t>
      </w:r>
      <w:r w:rsidRPr="001069A5">
        <w:rPr>
          <w:rFonts w:ascii="仿宋" w:eastAsia="仿宋" w:hAnsi="仿宋" w:hint="eastAsia"/>
          <w:sz w:val="28"/>
          <w:szCs w:val="28"/>
        </w:rPr>
        <w:t>；账面负债总计</w:t>
      </w:r>
      <w:r w:rsidRPr="001069A5">
        <w:rPr>
          <w:rFonts w:ascii="仿宋" w:eastAsia="仿宋" w:hAnsi="仿宋"/>
          <w:sz w:val="28"/>
          <w:szCs w:val="28"/>
        </w:rPr>
        <w:t>9.93</w:t>
      </w:r>
      <w:r w:rsidRPr="001069A5">
        <w:rPr>
          <w:rFonts w:ascii="仿宋" w:eastAsia="仿宋" w:hAnsi="仿宋" w:hint="eastAsia"/>
          <w:sz w:val="28"/>
          <w:szCs w:val="28"/>
        </w:rPr>
        <w:t>万元，评估价</w:t>
      </w:r>
      <w:r w:rsidRPr="001069A5">
        <w:rPr>
          <w:rFonts w:ascii="仿宋" w:eastAsia="仿宋" w:hAnsi="仿宋" w:hint="eastAsia"/>
          <w:sz w:val="28"/>
          <w:szCs w:val="28"/>
        </w:rPr>
        <w:lastRenderedPageBreak/>
        <w:t>值</w:t>
      </w:r>
      <w:r w:rsidRPr="001069A5">
        <w:rPr>
          <w:rFonts w:ascii="仿宋" w:eastAsia="仿宋" w:hAnsi="仿宋"/>
          <w:sz w:val="28"/>
          <w:szCs w:val="28"/>
        </w:rPr>
        <w:t>9.93</w:t>
      </w:r>
      <w:r w:rsidRPr="001069A5">
        <w:rPr>
          <w:rFonts w:ascii="仿宋" w:eastAsia="仿宋" w:hAnsi="仿宋" w:hint="eastAsia"/>
          <w:sz w:val="28"/>
          <w:szCs w:val="28"/>
        </w:rPr>
        <w:t>万元；账面净资产</w:t>
      </w:r>
      <w:r w:rsidRPr="001069A5">
        <w:rPr>
          <w:rFonts w:ascii="仿宋" w:eastAsia="仿宋" w:hAnsi="仿宋"/>
          <w:sz w:val="28"/>
          <w:szCs w:val="28"/>
        </w:rPr>
        <w:t>394.50</w:t>
      </w:r>
      <w:r w:rsidRPr="001069A5">
        <w:rPr>
          <w:rFonts w:ascii="仿宋" w:eastAsia="仿宋" w:hAnsi="仿宋" w:hint="eastAsia"/>
          <w:sz w:val="28"/>
          <w:szCs w:val="28"/>
        </w:rPr>
        <w:t>万元，评估价值</w:t>
      </w:r>
      <w:r w:rsidRPr="001069A5">
        <w:rPr>
          <w:rFonts w:ascii="仿宋" w:eastAsia="仿宋" w:hAnsi="仿宋"/>
          <w:sz w:val="28"/>
          <w:szCs w:val="28"/>
        </w:rPr>
        <w:t>391.51</w:t>
      </w:r>
      <w:r w:rsidRPr="001069A5">
        <w:rPr>
          <w:rFonts w:ascii="仿宋" w:eastAsia="仿宋" w:hAnsi="仿宋" w:hint="eastAsia"/>
          <w:sz w:val="28"/>
          <w:szCs w:val="28"/>
        </w:rPr>
        <w:t>万元，评估增值</w:t>
      </w:r>
      <w:r w:rsidRPr="001069A5">
        <w:rPr>
          <w:rFonts w:ascii="仿宋" w:eastAsia="仿宋" w:hAnsi="仿宋"/>
          <w:sz w:val="28"/>
          <w:szCs w:val="28"/>
        </w:rPr>
        <w:t>-2.99</w:t>
      </w:r>
      <w:r w:rsidRPr="001069A5">
        <w:rPr>
          <w:rFonts w:ascii="仿宋" w:eastAsia="仿宋" w:hAnsi="仿宋" w:hint="eastAsia"/>
          <w:sz w:val="28"/>
          <w:szCs w:val="28"/>
        </w:rPr>
        <w:t>万元。具体情况如下表（金额单位万元）：</w:t>
      </w:r>
    </w:p>
    <w:p w:rsidR="001069A5" w:rsidRPr="001069A5" w:rsidRDefault="001069A5" w:rsidP="001069A5">
      <w:pPr>
        <w:adjustRightInd w:val="0"/>
        <w:snapToGrid w:val="0"/>
        <w:spacing w:line="315" w:lineRule="atLeast"/>
        <w:jc w:val="center"/>
        <w:textAlignment w:val="baseline"/>
        <w:rPr>
          <w:rFonts w:ascii="仿宋" w:eastAsia="仿宋" w:hAnsi="仿宋" w:cs="Times New Roman"/>
          <w:kern w:val="0"/>
          <w:sz w:val="28"/>
          <w:szCs w:val="28"/>
        </w:rPr>
      </w:pPr>
      <w:r w:rsidRPr="001069A5">
        <w:rPr>
          <w:rFonts w:ascii="仿宋" w:eastAsia="仿宋" w:hAnsi="仿宋" w:cs="Times New Roman" w:hint="eastAsia"/>
          <w:b/>
          <w:color w:val="000000"/>
          <w:kern w:val="0"/>
          <w:sz w:val="28"/>
          <w:szCs w:val="28"/>
        </w:rPr>
        <w:t>资产评估结果汇总表</w:t>
      </w:r>
    </w:p>
    <w:tbl>
      <w:tblPr>
        <w:tblW w:w="8840" w:type="dxa"/>
        <w:jc w:val="right"/>
        <w:tblInd w:w="-137" w:type="dxa"/>
        <w:tblLook w:val="0000" w:firstRow="0" w:lastRow="0" w:firstColumn="0" w:lastColumn="0" w:noHBand="0" w:noVBand="0"/>
      </w:tblPr>
      <w:tblGrid>
        <w:gridCol w:w="2455"/>
        <w:gridCol w:w="1478"/>
        <w:gridCol w:w="1786"/>
        <w:gridCol w:w="1390"/>
        <w:gridCol w:w="1731"/>
      </w:tblGrid>
      <w:tr w:rsidR="001069A5" w:rsidRPr="001069A5" w:rsidTr="001069A5">
        <w:trPr>
          <w:trHeight w:val="261"/>
          <w:jc w:val="right"/>
        </w:trPr>
        <w:tc>
          <w:tcPr>
            <w:tcW w:w="2455" w:type="dxa"/>
            <w:tcBorders>
              <w:top w:val="single" w:sz="4" w:space="0" w:color="auto"/>
              <w:left w:val="single" w:sz="4" w:space="0" w:color="auto"/>
              <w:bottom w:val="nil"/>
              <w:right w:val="nil"/>
            </w:tcBorders>
            <w:vAlign w:val="center"/>
          </w:tcPr>
          <w:p w:rsidR="001069A5" w:rsidRPr="001069A5" w:rsidRDefault="001069A5" w:rsidP="001069A5">
            <w:pPr>
              <w:widowControl/>
              <w:jc w:val="center"/>
              <w:rPr>
                <w:rFonts w:ascii="仿宋" w:eastAsia="仿宋" w:hAnsi="仿宋" w:cs="Times New Roman"/>
                <w:sz w:val="24"/>
                <w:szCs w:val="24"/>
              </w:rPr>
            </w:pPr>
            <w:r w:rsidRPr="001069A5">
              <w:rPr>
                <w:rFonts w:ascii="仿宋" w:eastAsia="仿宋" w:hAnsi="仿宋" w:cs="Times New Roman" w:hint="eastAsia"/>
                <w:sz w:val="24"/>
                <w:szCs w:val="24"/>
              </w:rPr>
              <w:t>项</w:t>
            </w:r>
            <w:r w:rsidRPr="001069A5">
              <w:rPr>
                <w:rFonts w:ascii="仿宋" w:eastAsia="仿宋" w:hAnsi="仿宋" w:cs="Times New Roman"/>
                <w:sz w:val="24"/>
                <w:szCs w:val="24"/>
              </w:rPr>
              <w:t xml:space="preserve">      </w:t>
            </w:r>
            <w:r w:rsidRPr="001069A5">
              <w:rPr>
                <w:rFonts w:ascii="仿宋" w:eastAsia="仿宋" w:hAnsi="仿宋" w:cs="Times New Roman" w:hint="eastAsia"/>
                <w:sz w:val="24"/>
                <w:szCs w:val="24"/>
              </w:rPr>
              <w:t>目</w:t>
            </w:r>
          </w:p>
        </w:tc>
        <w:tc>
          <w:tcPr>
            <w:tcW w:w="1478" w:type="dxa"/>
            <w:tcBorders>
              <w:top w:val="single" w:sz="4" w:space="0" w:color="auto"/>
              <w:left w:val="single" w:sz="4" w:space="0" w:color="auto"/>
              <w:bottom w:val="single" w:sz="4" w:space="0" w:color="auto"/>
              <w:right w:val="single" w:sz="4" w:space="0" w:color="auto"/>
            </w:tcBorders>
            <w:vAlign w:val="center"/>
          </w:tcPr>
          <w:p w:rsidR="001069A5" w:rsidRPr="001069A5" w:rsidRDefault="001069A5" w:rsidP="001069A5">
            <w:pPr>
              <w:widowControl/>
              <w:jc w:val="center"/>
              <w:rPr>
                <w:rFonts w:ascii="仿宋" w:eastAsia="仿宋" w:hAnsi="仿宋" w:cs="Times New Roman"/>
                <w:sz w:val="24"/>
                <w:szCs w:val="24"/>
              </w:rPr>
            </w:pPr>
            <w:r w:rsidRPr="001069A5">
              <w:rPr>
                <w:rFonts w:ascii="仿宋" w:eastAsia="仿宋" w:hAnsi="仿宋" w:cs="Times New Roman" w:hint="eastAsia"/>
                <w:sz w:val="24"/>
                <w:szCs w:val="24"/>
              </w:rPr>
              <w:t>账面价值</w:t>
            </w:r>
          </w:p>
        </w:tc>
        <w:tc>
          <w:tcPr>
            <w:tcW w:w="1786" w:type="dxa"/>
            <w:tcBorders>
              <w:top w:val="single" w:sz="4" w:space="0" w:color="auto"/>
              <w:left w:val="nil"/>
              <w:bottom w:val="single" w:sz="4" w:space="0" w:color="auto"/>
              <w:right w:val="single" w:sz="4" w:space="0" w:color="auto"/>
            </w:tcBorders>
            <w:vAlign w:val="center"/>
          </w:tcPr>
          <w:p w:rsidR="001069A5" w:rsidRPr="001069A5" w:rsidRDefault="001069A5" w:rsidP="001069A5">
            <w:pPr>
              <w:widowControl/>
              <w:jc w:val="center"/>
              <w:rPr>
                <w:rFonts w:ascii="仿宋" w:eastAsia="仿宋" w:hAnsi="仿宋" w:cs="Times New Roman"/>
                <w:sz w:val="24"/>
                <w:szCs w:val="24"/>
              </w:rPr>
            </w:pPr>
            <w:r w:rsidRPr="001069A5">
              <w:rPr>
                <w:rFonts w:ascii="仿宋" w:eastAsia="仿宋" w:hAnsi="仿宋" w:cs="Times New Roman" w:hint="eastAsia"/>
                <w:sz w:val="24"/>
                <w:szCs w:val="24"/>
              </w:rPr>
              <w:t>评估价值</w:t>
            </w:r>
          </w:p>
        </w:tc>
        <w:tc>
          <w:tcPr>
            <w:tcW w:w="1390" w:type="dxa"/>
            <w:tcBorders>
              <w:top w:val="single" w:sz="4" w:space="0" w:color="auto"/>
              <w:left w:val="nil"/>
              <w:bottom w:val="single" w:sz="4" w:space="0" w:color="auto"/>
              <w:right w:val="single" w:sz="4" w:space="0" w:color="auto"/>
            </w:tcBorders>
            <w:vAlign w:val="center"/>
          </w:tcPr>
          <w:p w:rsidR="001069A5" w:rsidRPr="001069A5" w:rsidRDefault="001069A5" w:rsidP="001069A5">
            <w:pPr>
              <w:widowControl/>
              <w:jc w:val="center"/>
              <w:rPr>
                <w:rFonts w:ascii="仿宋" w:eastAsia="仿宋" w:hAnsi="仿宋" w:cs="Times New Roman"/>
                <w:sz w:val="24"/>
                <w:szCs w:val="24"/>
              </w:rPr>
            </w:pPr>
            <w:r w:rsidRPr="001069A5">
              <w:rPr>
                <w:rFonts w:ascii="仿宋" w:eastAsia="仿宋" w:hAnsi="仿宋" w:cs="Times New Roman" w:hint="eastAsia"/>
                <w:sz w:val="24"/>
                <w:szCs w:val="24"/>
              </w:rPr>
              <w:t xml:space="preserve"> 增减值 </w:t>
            </w:r>
          </w:p>
        </w:tc>
        <w:tc>
          <w:tcPr>
            <w:tcW w:w="1731" w:type="dxa"/>
            <w:tcBorders>
              <w:top w:val="single" w:sz="4" w:space="0" w:color="auto"/>
              <w:left w:val="nil"/>
              <w:bottom w:val="single" w:sz="4" w:space="0" w:color="auto"/>
              <w:right w:val="single" w:sz="4" w:space="0" w:color="auto"/>
            </w:tcBorders>
            <w:vAlign w:val="center"/>
          </w:tcPr>
          <w:p w:rsidR="001069A5" w:rsidRPr="001069A5" w:rsidRDefault="001069A5" w:rsidP="001069A5">
            <w:pPr>
              <w:widowControl/>
              <w:jc w:val="center"/>
              <w:rPr>
                <w:rFonts w:ascii="仿宋" w:eastAsia="仿宋" w:hAnsi="仿宋" w:cs="Times New Roman"/>
                <w:sz w:val="24"/>
                <w:szCs w:val="24"/>
              </w:rPr>
            </w:pPr>
            <w:r w:rsidRPr="001069A5">
              <w:rPr>
                <w:rFonts w:ascii="仿宋" w:eastAsia="仿宋" w:hAnsi="仿宋" w:cs="Times New Roman" w:hint="eastAsia"/>
                <w:sz w:val="24"/>
                <w:szCs w:val="24"/>
              </w:rPr>
              <w:t>增值率</w:t>
            </w:r>
            <w:r w:rsidRPr="001069A5">
              <w:rPr>
                <w:rFonts w:ascii="仿宋" w:eastAsia="仿宋" w:hAnsi="仿宋" w:cs="Times New Roman"/>
                <w:sz w:val="24"/>
                <w:szCs w:val="24"/>
              </w:rPr>
              <w:t>%</w:t>
            </w:r>
          </w:p>
        </w:tc>
      </w:tr>
      <w:tr w:rsidR="001069A5" w:rsidRPr="001069A5" w:rsidTr="001069A5">
        <w:trPr>
          <w:trHeight w:val="261"/>
          <w:jc w:val="right"/>
        </w:trPr>
        <w:tc>
          <w:tcPr>
            <w:tcW w:w="2455" w:type="dxa"/>
            <w:tcBorders>
              <w:top w:val="single" w:sz="4" w:space="0" w:color="auto"/>
              <w:left w:val="single" w:sz="4" w:space="0" w:color="auto"/>
              <w:bottom w:val="single" w:sz="4" w:space="0" w:color="auto"/>
              <w:right w:val="single" w:sz="4" w:space="0" w:color="auto"/>
            </w:tcBorders>
            <w:noWrap/>
            <w:vAlign w:val="center"/>
          </w:tcPr>
          <w:p w:rsidR="001069A5" w:rsidRPr="001069A5" w:rsidRDefault="001069A5" w:rsidP="001069A5">
            <w:pPr>
              <w:widowControl/>
              <w:jc w:val="left"/>
              <w:rPr>
                <w:rFonts w:ascii="仿宋" w:eastAsia="仿宋" w:hAnsi="仿宋" w:cs="Times New Roman"/>
                <w:sz w:val="24"/>
                <w:szCs w:val="24"/>
              </w:rPr>
            </w:pPr>
            <w:r w:rsidRPr="001069A5">
              <w:rPr>
                <w:rFonts w:ascii="仿宋" w:eastAsia="仿宋" w:hAnsi="仿宋" w:cs="Times New Roman" w:hint="eastAsia"/>
                <w:sz w:val="24"/>
                <w:szCs w:val="24"/>
              </w:rPr>
              <w:t>流动资产</w:t>
            </w:r>
          </w:p>
        </w:tc>
        <w:tc>
          <w:tcPr>
            <w:tcW w:w="1478"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 xml:space="preserve">395.05 </w:t>
            </w:r>
          </w:p>
        </w:tc>
        <w:tc>
          <w:tcPr>
            <w:tcW w:w="1786"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 xml:space="preserve">395.05 </w:t>
            </w:r>
          </w:p>
        </w:tc>
        <w:tc>
          <w:tcPr>
            <w:tcW w:w="1390"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p>
        </w:tc>
        <w:tc>
          <w:tcPr>
            <w:tcW w:w="1731"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p>
        </w:tc>
      </w:tr>
      <w:tr w:rsidR="001069A5" w:rsidRPr="001069A5" w:rsidTr="001069A5">
        <w:trPr>
          <w:trHeight w:val="261"/>
          <w:jc w:val="right"/>
        </w:trPr>
        <w:tc>
          <w:tcPr>
            <w:tcW w:w="2455" w:type="dxa"/>
            <w:tcBorders>
              <w:top w:val="nil"/>
              <w:left w:val="single" w:sz="4" w:space="0" w:color="auto"/>
              <w:bottom w:val="single" w:sz="4" w:space="0" w:color="auto"/>
              <w:right w:val="single" w:sz="4" w:space="0" w:color="auto"/>
            </w:tcBorders>
            <w:noWrap/>
            <w:vAlign w:val="center"/>
          </w:tcPr>
          <w:p w:rsidR="001069A5" w:rsidRPr="001069A5" w:rsidRDefault="001069A5" w:rsidP="001069A5">
            <w:pPr>
              <w:widowControl/>
              <w:jc w:val="left"/>
              <w:rPr>
                <w:rFonts w:ascii="仿宋" w:eastAsia="仿宋" w:hAnsi="仿宋" w:cs="Times New Roman"/>
                <w:sz w:val="24"/>
                <w:szCs w:val="24"/>
              </w:rPr>
            </w:pPr>
            <w:r w:rsidRPr="001069A5">
              <w:rPr>
                <w:rFonts w:ascii="仿宋" w:eastAsia="仿宋" w:hAnsi="仿宋" w:cs="Times New Roman" w:hint="eastAsia"/>
                <w:sz w:val="24"/>
                <w:szCs w:val="24"/>
              </w:rPr>
              <w:t>非流动资产</w:t>
            </w:r>
          </w:p>
        </w:tc>
        <w:tc>
          <w:tcPr>
            <w:tcW w:w="1478"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 xml:space="preserve">9.38 </w:t>
            </w:r>
          </w:p>
        </w:tc>
        <w:tc>
          <w:tcPr>
            <w:tcW w:w="1786"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 xml:space="preserve">6.39 </w:t>
            </w:r>
          </w:p>
        </w:tc>
        <w:tc>
          <w:tcPr>
            <w:tcW w:w="1390"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 xml:space="preserve">-2.99 </w:t>
            </w:r>
          </w:p>
        </w:tc>
        <w:tc>
          <w:tcPr>
            <w:tcW w:w="1731"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-31.88%</w:t>
            </w:r>
          </w:p>
        </w:tc>
      </w:tr>
      <w:tr w:rsidR="001069A5" w:rsidRPr="001069A5" w:rsidTr="001069A5">
        <w:trPr>
          <w:trHeight w:val="261"/>
          <w:jc w:val="right"/>
        </w:trPr>
        <w:tc>
          <w:tcPr>
            <w:tcW w:w="2455" w:type="dxa"/>
            <w:tcBorders>
              <w:top w:val="nil"/>
              <w:left w:val="single" w:sz="4" w:space="0" w:color="auto"/>
              <w:bottom w:val="single" w:sz="4" w:space="0" w:color="auto"/>
              <w:right w:val="nil"/>
            </w:tcBorders>
            <w:noWrap/>
            <w:vAlign w:val="center"/>
          </w:tcPr>
          <w:p w:rsidR="001069A5" w:rsidRPr="001069A5" w:rsidRDefault="001069A5" w:rsidP="001069A5">
            <w:pPr>
              <w:widowControl/>
              <w:jc w:val="left"/>
              <w:rPr>
                <w:rFonts w:ascii="仿宋" w:eastAsia="仿宋" w:hAnsi="仿宋" w:cs="Times New Roman"/>
                <w:sz w:val="24"/>
                <w:szCs w:val="24"/>
              </w:rPr>
            </w:pPr>
            <w:r w:rsidRPr="001069A5">
              <w:rPr>
                <w:rFonts w:ascii="仿宋" w:eastAsia="仿宋" w:hAnsi="仿宋" w:cs="Times New Roman" w:hint="eastAsia"/>
                <w:sz w:val="24"/>
                <w:szCs w:val="24"/>
              </w:rPr>
              <w:t>其中：固定资产</w:t>
            </w:r>
          </w:p>
        </w:tc>
        <w:tc>
          <w:tcPr>
            <w:tcW w:w="1478" w:type="dxa"/>
            <w:tcBorders>
              <w:top w:val="nil"/>
              <w:left w:val="single" w:sz="4" w:space="0" w:color="auto"/>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 xml:space="preserve">9.38 </w:t>
            </w:r>
          </w:p>
        </w:tc>
        <w:tc>
          <w:tcPr>
            <w:tcW w:w="1786"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 xml:space="preserve">6.39 </w:t>
            </w:r>
          </w:p>
        </w:tc>
        <w:tc>
          <w:tcPr>
            <w:tcW w:w="1390"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 xml:space="preserve">-2.99 </w:t>
            </w:r>
          </w:p>
        </w:tc>
        <w:tc>
          <w:tcPr>
            <w:tcW w:w="1731"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-31.88%</w:t>
            </w:r>
          </w:p>
        </w:tc>
      </w:tr>
      <w:tr w:rsidR="001069A5" w:rsidRPr="001069A5" w:rsidTr="001069A5">
        <w:trPr>
          <w:trHeight w:val="261"/>
          <w:jc w:val="right"/>
        </w:trPr>
        <w:tc>
          <w:tcPr>
            <w:tcW w:w="2455" w:type="dxa"/>
            <w:tcBorders>
              <w:top w:val="nil"/>
              <w:left w:val="single" w:sz="4" w:space="0" w:color="auto"/>
              <w:bottom w:val="single" w:sz="4" w:space="0" w:color="auto"/>
              <w:right w:val="nil"/>
            </w:tcBorders>
            <w:noWrap/>
            <w:vAlign w:val="center"/>
          </w:tcPr>
          <w:p w:rsidR="001069A5" w:rsidRPr="001069A5" w:rsidRDefault="001069A5" w:rsidP="001069A5">
            <w:pPr>
              <w:widowControl/>
              <w:jc w:val="center"/>
              <w:rPr>
                <w:rFonts w:ascii="仿宋" w:eastAsia="仿宋" w:hAnsi="仿宋" w:cs="Times New Roman"/>
                <w:sz w:val="24"/>
                <w:szCs w:val="24"/>
              </w:rPr>
            </w:pPr>
            <w:r w:rsidRPr="001069A5">
              <w:rPr>
                <w:rFonts w:ascii="仿宋" w:eastAsia="仿宋" w:hAnsi="仿宋" w:cs="Times New Roman" w:hint="eastAsia"/>
                <w:sz w:val="24"/>
                <w:szCs w:val="24"/>
              </w:rPr>
              <w:t>资产总计</w:t>
            </w:r>
          </w:p>
        </w:tc>
        <w:tc>
          <w:tcPr>
            <w:tcW w:w="1478" w:type="dxa"/>
            <w:tcBorders>
              <w:top w:val="nil"/>
              <w:left w:val="single" w:sz="4" w:space="0" w:color="auto"/>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 xml:space="preserve">404.43 </w:t>
            </w:r>
          </w:p>
        </w:tc>
        <w:tc>
          <w:tcPr>
            <w:tcW w:w="1786"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bookmarkStart w:id="2" w:name="_Hlk55562863"/>
            <w:r w:rsidRPr="001069A5">
              <w:rPr>
                <w:rFonts w:ascii="仿宋" w:eastAsia="仿宋" w:hAnsi="仿宋" w:cs="Times New Roman"/>
                <w:sz w:val="24"/>
                <w:szCs w:val="24"/>
              </w:rPr>
              <w:t>401.44</w:t>
            </w:r>
            <w:bookmarkEnd w:id="2"/>
            <w:r w:rsidRPr="001069A5">
              <w:rPr>
                <w:rFonts w:ascii="仿宋" w:eastAsia="仿宋" w:hAnsi="仿宋" w:cs="Times New Roman"/>
                <w:sz w:val="24"/>
                <w:szCs w:val="24"/>
              </w:rPr>
              <w:t xml:space="preserve"> </w:t>
            </w:r>
          </w:p>
        </w:tc>
        <w:tc>
          <w:tcPr>
            <w:tcW w:w="1390"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bookmarkStart w:id="3" w:name="_Hlk55562885"/>
            <w:r w:rsidRPr="001069A5">
              <w:rPr>
                <w:rFonts w:ascii="仿宋" w:eastAsia="仿宋" w:hAnsi="仿宋" w:cs="Times New Roman"/>
                <w:sz w:val="24"/>
                <w:szCs w:val="24"/>
              </w:rPr>
              <w:t>-2.99</w:t>
            </w:r>
            <w:bookmarkEnd w:id="3"/>
            <w:r w:rsidRPr="001069A5">
              <w:rPr>
                <w:rFonts w:ascii="仿宋" w:eastAsia="仿宋" w:hAnsi="仿宋" w:cs="Times New Roman"/>
                <w:sz w:val="24"/>
                <w:szCs w:val="24"/>
              </w:rPr>
              <w:t xml:space="preserve"> </w:t>
            </w:r>
          </w:p>
        </w:tc>
        <w:tc>
          <w:tcPr>
            <w:tcW w:w="1731"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-0.74%</w:t>
            </w:r>
          </w:p>
        </w:tc>
      </w:tr>
      <w:tr w:rsidR="001069A5" w:rsidRPr="001069A5" w:rsidTr="001069A5">
        <w:trPr>
          <w:trHeight w:val="261"/>
          <w:jc w:val="right"/>
        </w:trPr>
        <w:tc>
          <w:tcPr>
            <w:tcW w:w="2455" w:type="dxa"/>
            <w:tcBorders>
              <w:top w:val="nil"/>
              <w:left w:val="single" w:sz="4" w:space="0" w:color="auto"/>
              <w:bottom w:val="single" w:sz="4" w:space="0" w:color="auto"/>
              <w:right w:val="nil"/>
            </w:tcBorders>
            <w:noWrap/>
            <w:vAlign w:val="center"/>
          </w:tcPr>
          <w:p w:rsidR="001069A5" w:rsidRPr="001069A5" w:rsidRDefault="001069A5" w:rsidP="001069A5">
            <w:pPr>
              <w:widowControl/>
              <w:jc w:val="left"/>
              <w:rPr>
                <w:rFonts w:ascii="仿宋" w:eastAsia="仿宋" w:hAnsi="仿宋" w:cs="Times New Roman"/>
                <w:sz w:val="24"/>
                <w:szCs w:val="24"/>
              </w:rPr>
            </w:pPr>
            <w:r w:rsidRPr="001069A5">
              <w:rPr>
                <w:rFonts w:ascii="仿宋" w:eastAsia="仿宋" w:hAnsi="仿宋" w:cs="Times New Roman" w:hint="eastAsia"/>
                <w:sz w:val="24"/>
                <w:szCs w:val="24"/>
              </w:rPr>
              <w:t>流动负债</w:t>
            </w:r>
          </w:p>
        </w:tc>
        <w:tc>
          <w:tcPr>
            <w:tcW w:w="1478" w:type="dxa"/>
            <w:tcBorders>
              <w:top w:val="nil"/>
              <w:left w:val="single" w:sz="4" w:space="0" w:color="auto"/>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 xml:space="preserve">9.93 </w:t>
            </w:r>
          </w:p>
        </w:tc>
        <w:tc>
          <w:tcPr>
            <w:tcW w:w="1786"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 xml:space="preserve">9.93 </w:t>
            </w:r>
          </w:p>
        </w:tc>
        <w:tc>
          <w:tcPr>
            <w:tcW w:w="1390"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p>
        </w:tc>
        <w:tc>
          <w:tcPr>
            <w:tcW w:w="1731"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p>
        </w:tc>
      </w:tr>
      <w:tr w:rsidR="001069A5" w:rsidRPr="001069A5" w:rsidTr="001069A5">
        <w:trPr>
          <w:trHeight w:val="261"/>
          <w:jc w:val="right"/>
        </w:trPr>
        <w:tc>
          <w:tcPr>
            <w:tcW w:w="2455" w:type="dxa"/>
            <w:tcBorders>
              <w:top w:val="nil"/>
              <w:left w:val="single" w:sz="4" w:space="0" w:color="auto"/>
              <w:bottom w:val="single" w:sz="4" w:space="0" w:color="auto"/>
              <w:right w:val="nil"/>
            </w:tcBorders>
            <w:noWrap/>
            <w:vAlign w:val="center"/>
          </w:tcPr>
          <w:p w:rsidR="001069A5" w:rsidRPr="001069A5" w:rsidRDefault="001069A5" w:rsidP="001069A5">
            <w:pPr>
              <w:widowControl/>
              <w:jc w:val="center"/>
              <w:rPr>
                <w:rFonts w:ascii="仿宋" w:eastAsia="仿宋" w:hAnsi="仿宋" w:cs="Times New Roman"/>
                <w:sz w:val="24"/>
                <w:szCs w:val="24"/>
              </w:rPr>
            </w:pPr>
            <w:r w:rsidRPr="001069A5">
              <w:rPr>
                <w:rFonts w:ascii="仿宋" w:eastAsia="仿宋" w:hAnsi="仿宋" w:cs="Times New Roman" w:hint="eastAsia"/>
                <w:sz w:val="24"/>
                <w:szCs w:val="24"/>
              </w:rPr>
              <w:t>负债总计</w:t>
            </w:r>
          </w:p>
        </w:tc>
        <w:tc>
          <w:tcPr>
            <w:tcW w:w="1478" w:type="dxa"/>
            <w:tcBorders>
              <w:top w:val="nil"/>
              <w:left w:val="single" w:sz="4" w:space="0" w:color="auto"/>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 xml:space="preserve">9.93 </w:t>
            </w:r>
          </w:p>
        </w:tc>
        <w:tc>
          <w:tcPr>
            <w:tcW w:w="1786"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 xml:space="preserve">9.93 </w:t>
            </w:r>
          </w:p>
        </w:tc>
        <w:tc>
          <w:tcPr>
            <w:tcW w:w="1390"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p>
        </w:tc>
        <w:tc>
          <w:tcPr>
            <w:tcW w:w="1731"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p>
        </w:tc>
      </w:tr>
      <w:tr w:rsidR="001069A5" w:rsidRPr="001069A5" w:rsidTr="001069A5">
        <w:trPr>
          <w:trHeight w:val="261"/>
          <w:jc w:val="right"/>
        </w:trPr>
        <w:tc>
          <w:tcPr>
            <w:tcW w:w="2455" w:type="dxa"/>
            <w:tcBorders>
              <w:top w:val="nil"/>
              <w:left w:val="single" w:sz="4" w:space="0" w:color="auto"/>
              <w:bottom w:val="single" w:sz="4" w:space="0" w:color="auto"/>
              <w:right w:val="nil"/>
            </w:tcBorders>
            <w:noWrap/>
            <w:vAlign w:val="center"/>
          </w:tcPr>
          <w:p w:rsidR="001069A5" w:rsidRPr="001069A5" w:rsidRDefault="001069A5" w:rsidP="001069A5">
            <w:pPr>
              <w:widowControl/>
              <w:jc w:val="center"/>
              <w:rPr>
                <w:rFonts w:ascii="仿宋" w:eastAsia="仿宋" w:hAnsi="仿宋" w:cs="Times New Roman"/>
                <w:sz w:val="24"/>
                <w:szCs w:val="24"/>
              </w:rPr>
            </w:pPr>
            <w:r w:rsidRPr="001069A5">
              <w:rPr>
                <w:rFonts w:ascii="仿宋" w:eastAsia="仿宋" w:hAnsi="仿宋" w:cs="Times New Roman" w:hint="eastAsia"/>
                <w:sz w:val="24"/>
                <w:szCs w:val="24"/>
              </w:rPr>
              <w:t>净资产</w:t>
            </w:r>
            <w:r w:rsidRPr="001069A5">
              <w:rPr>
                <w:rFonts w:ascii="仿宋" w:eastAsia="仿宋" w:hAnsi="仿宋" w:cs="Times New Roman"/>
                <w:sz w:val="24"/>
                <w:szCs w:val="24"/>
              </w:rPr>
              <w:t>(</w:t>
            </w:r>
            <w:r w:rsidRPr="001069A5">
              <w:rPr>
                <w:rFonts w:ascii="仿宋" w:eastAsia="仿宋" w:hAnsi="仿宋" w:cs="Times New Roman" w:hint="eastAsia"/>
                <w:sz w:val="24"/>
                <w:szCs w:val="24"/>
              </w:rPr>
              <w:t>所有者权益</w:t>
            </w:r>
            <w:r w:rsidRPr="001069A5">
              <w:rPr>
                <w:rFonts w:ascii="仿宋" w:eastAsia="仿宋" w:hAnsi="仿宋" w:cs="Times New Roman"/>
                <w:sz w:val="24"/>
                <w:szCs w:val="24"/>
              </w:rPr>
              <w:t>)</w:t>
            </w:r>
          </w:p>
        </w:tc>
        <w:tc>
          <w:tcPr>
            <w:tcW w:w="1478" w:type="dxa"/>
            <w:tcBorders>
              <w:top w:val="nil"/>
              <w:left w:val="single" w:sz="4" w:space="0" w:color="auto"/>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 xml:space="preserve">394.50 </w:t>
            </w:r>
          </w:p>
        </w:tc>
        <w:tc>
          <w:tcPr>
            <w:tcW w:w="1786"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bookmarkStart w:id="4" w:name="_Hlk55562951"/>
            <w:r w:rsidRPr="001069A5">
              <w:rPr>
                <w:rFonts w:ascii="仿宋" w:eastAsia="仿宋" w:hAnsi="仿宋" w:cs="Times New Roman"/>
                <w:sz w:val="24"/>
                <w:szCs w:val="24"/>
              </w:rPr>
              <w:t>391.51</w:t>
            </w:r>
            <w:bookmarkEnd w:id="4"/>
            <w:r w:rsidRPr="001069A5">
              <w:rPr>
                <w:rFonts w:ascii="仿宋" w:eastAsia="仿宋" w:hAnsi="仿宋" w:cs="Times New Roman"/>
                <w:sz w:val="24"/>
                <w:szCs w:val="24"/>
              </w:rPr>
              <w:t xml:space="preserve"> </w:t>
            </w:r>
          </w:p>
        </w:tc>
        <w:tc>
          <w:tcPr>
            <w:tcW w:w="1390"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 xml:space="preserve">-2.99 </w:t>
            </w:r>
          </w:p>
        </w:tc>
        <w:tc>
          <w:tcPr>
            <w:tcW w:w="1731" w:type="dxa"/>
            <w:tcBorders>
              <w:top w:val="nil"/>
              <w:left w:val="nil"/>
              <w:bottom w:val="single" w:sz="4" w:space="0" w:color="auto"/>
              <w:right w:val="single" w:sz="4" w:space="0" w:color="auto"/>
            </w:tcBorders>
            <w:noWrap/>
            <w:vAlign w:val="center"/>
          </w:tcPr>
          <w:p w:rsidR="001069A5" w:rsidRPr="001069A5" w:rsidRDefault="001069A5" w:rsidP="001069A5">
            <w:pPr>
              <w:widowControl/>
              <w:jc w:val="right"/>
              <w:rPr>
                <w:rFonts w:ascii="仿宋" w:eastAsia="仿宋" w:hAnsi="仿宋" w:cs="Times New Roman"/>
                <w:sz w:val="24"/>
                <w:szCs w:val="24"/>
              </w:rPr>
            </w:pPr>
            <w:r w:rsidRPr="001069A5">
              <w:rPr>
                <w:rFonts w:ascii="仿宋" w:eastAsia="仿宋" w:hAnsi="仿宋" w:cs="Times New Roman"/>
                <w:sz w:val="24"/>
                <w:szCs w:val="24"/>
              </w:rPr>
              <w:t>-0.76%</w:t>
            </w:r>
          </w:p>
        </w:tc>
      </w:tr>
    </w:tbl>
    <w:p w:rsidR="001069A5" w:rsidRPr="001069A5" w:rsidRDefault="001069A5" w:rsidP="00C63B71">
      <w:pPr>
        <w:adjustRightInd w:val="0"/>
        <w:snapToGrid w:val="0"/>
        <w:spacing w:line="560" w:lineRule="exact"/>
        <w:ind w:rightChars="-68" w:right="-143" w:firstLineChars="200" w:firstLine="560"/>
        <w:textAlignment w:val="baseline"/>
        <w:rPr>
          <w:rFonts w:ascii="仿宋" w:eastAsia="仿宋" w:hAnsi="仿宋" w:cs="Times New Roman"/>
          <w:color w:val="000000"/>
          <w:kern w:val="0"/>
          <w:sz w:val="28"/>
          <w:szCs w:val="28"/>
        </w:rPr>
      </w:pPr>
      <w:r w:rsidRPr="001069A5">
        <w:rPr>
          <w:rFonts w:ascii="仿宋" w:eastAsia="仿宋" w:hAnsi="仿宋" w:cs="Times New Roman" w:hint="eastAsia"/>
          <w:color w:val="000000"/>
          <w:kern w:val="0"/>
          <w:sz w:val="28"/>
          <w:szCs w:val="28"/>
        </w:rPr>
        <w:t>七、评估结论使用有效期一年，自评估基准日2020年10月19日起计算。</w:t>
      </w:r>
    </w:p>
    <w:p w:rsidR="001069A5" w:rsidRPr="001069A5" w:rsidRDefault="001069A5" w:rsidP="00C63B71">
      <w:pPr>
        <w:adjustRightInd w:val="0"/>
        <w:snapToGrid w:val="0"/>
        <w:spacing w:line="560" w:lineRule="exact"/>
        <w:ind w:rightChars="-68" w:right="-143" w:firstLineChars="200" w:firstLine="560"/>
        <w:textAlignment w:val="baseline"/>
        <w:rPr>
          <w:rFonts w:ascii="仿宋" w:eastAsia="仿宋" w:hAnsi="仿宋" w:cs="Times New Roman"/>
          <w:color w:val="000000"/>
          <w:kern w:val="0"/>
          <w:sz w:val="28"/>
          <w:szCs w:val="28"/>
        </w:rPr>
      </w:pPr>
      <w:r w:rsidRPr="001069A5">
        <w:rPr>
          <w:rFonts w:ascii="仿宋" w:eastAsia="仿宋" w:hAnsi="仿宋" w:cs="Times New Roman" w:hint="eastAsia"/>
          <w:color w:val="000000"/>
          <w:kern w:val="0"/>
          <w:sz w:val="28"/>
          <w:szCs w:val="28"/>
        </w:rPr>
        <w:t>八、特别事项说明：</w:t>
      </w:r>
    </w:p>
    <w:p w:rsidR="001069A5" w:rsidRPr="001069A5" w:rsidRDefault="001069A5" w:rsidP="00C63B71">
      <w:pPr>
        <w:adjustRightInd w:val="0"/>
        <w:snapToGrid w:val="0"/>
        <w:spacing w:line="560" w:lineRule="exact"/>
        <w:ind w:rightChars="-68" w:right="-143" w:firstLineChars="200" w:firstLine="560"/>
        <w:textAlignment w:val="baseline"/>
        <w:rPr>
          <w:rFonts w:ascii="仿宋" w:eastAsia="仿宋" w:hAnsi="仿宋" w:cs="Times New Roman"/>
          <w:kern w:val="0"/>
          <w:sz w:val="28"/>
          <w:szCs w:val="28"/>
        </w:rPr>
      </w:pPr>
      <w:r w:rsidRPr="001069A5">
        <w:rPr>
          <w:rFonts w:ascii="仿宋" w:eastAsia="仿宋" w:hAnsi="仿宋" w:cs="Times New Roman" w:hint="eastAsia"/>
          <w:color w:val="000000"/>
          <w:kern w:val="0"/>
          <w:sz w:val="28"/>
          <w:szCs w:val="28"/>
        </w:rPr>
        <w:t>（</w:t>
      </w:r>
      <w:r w:rsidRPr="001069A5">
        <w:rPr>
          <w:rFonts w:ascii="仿宋" w:eastAsia="仿宋" w:hAnsi="仿宋" w:cs="Times New Roman"/>
          <w:color w:val="000000"/>
          <w:kern w:val="0"/>
          <w:sz w:val="28"/>
          <w:szCs w:val="28"/>
        </w:rPr>
        <w:t>1</w:t>
      </w:r>
      <w:r w:rsidRPr="001069A5">
        <w:rPr>
          <w:rFonts w:ascii="仿宋" w:eastAsia="仿宋" w:hAnsi="仿宋" w:cs="Times New Roman" w:hint="eastAsia"/>
          <w:color w:val="000000"/>
          <w:kern w:val="0"/>
          <w:sz w:val="28"/>
          <w:szCs w:val="28"/>
        </w:rPr>
        <w:t>）</w:t>
      </w:r>
      <w:r w:rsidRPr="001069A5">
        <w:rPr>
          <w:rFonts w:ascii="仿宋" w:eastAsia="仿宋" w:hAnsi="仿宋" w:cs="Times New Roman" w:hint="eastAsia"/>
          <w:kern w:val="0"/>
          <w:sz w:val="28"/>
          <w:szCs w:val="28"/>
        </w:rPr>
        <w:t>四川川投凉山投资发展有限责任公司决定停止经营、并解散公司。</w:t>
      </w:r>
    </w:p>
    <w:p w:rsidR="001069A5" w:rsidRPr="001069A5" w:rsidRDefault="001069A5" w:rsidP="00C63B71">
      <w:pPr>
        <w:adjustRightInd w:val="0"/>
        <w:snapToGrid w:val="0"/>
        <w:spacing w:line="560" w:lineRule="exact"/>
        <w:ind w:rightChars="-68" w:right="-143" w:firstLineChars="200" w:firstLine="560"/>
        <w:textAlignment w:val="baseline"/>
        <w:rPr>
          <w:rFonts w:ascii="仿宋" w:eastAsia="仿宋" w:hAnsi="仿宋" w:cs="Times New Roman"/>
          <w:color w:val="000000"/>
          <w:kern w:val="0"/>
          <w:sz w:val="28"/>
          <w:szCs w:val="28"/>
        </w:rPr>
      </w:pPr>
      <w:r w:rsidRPr="001069A5">
        <w:rPr>
          <w:rFonts w:ascii="仿宋" w:eastAsia="仿宋" w:hAnsi="仿宋" w:cs="Times New Roman" w:hint="eastAsia"/>
          <w:kern w:val="0"/>
          <w:sz w:val="28"/>
          <w:szCs w:val="28"/>
        </w:rPr>
        <w:t>（2）</w:t>
      </w:r>
      <w:r w:rsidRPr="001069A5">
        <w:rPr>
          <w:rFonts w:ascii="仿宋" w:eastAsia="仿宋" w:hAnsi="仿宋" w:cs="Times New Roman" w:hint="eastAsia"/>
          <w:color w:val="000000"/>
          <w:kern w:val="0"/>
          <w:sz w:val="28"/>
          <w:szCs w:val="28"/>
        </w:rPr>
        <w:t>应付账款99,300.00元，为财税审核及企业清算注销代理费、评估费、律师服务费，以中标通知书上的中标金额列示，如后继合同金额或结算金额有变化，则应按最终确定的金额对评估报告内容进行调整使用或重新评估。</w:t>
      </w:r>
    </w:p>
    <w:p w:rsidR="001069A5" w:rsidRPr="001069A5" w:rsidRDefault="001069A5" w:rsidP="00C63B71">
      <w:pPr>
        <w:adjustRightInd w:val="0"/>
        <w:snapToGrid w:val="0"/>
        <w:spacing w:line="560" w:lineRule="exact"/>
        <w:ind w:rightChars="-68" w:right="-143" w:firstLineChars="200" w:firstLine="560"/>
        <w:textAlignment w:val="baseline"/>
        <w:rPr>
          <w:rFonts w:ascii="仿宋" w:eastAsia="仿宋" w:hAnsi="仿宋" w:cs="Times New Roman"/>
          <w:color w:val="000000"/>
          <w:kern w:val="0"/>
          <w:sz w:val="28"/>
          <w:szCs w:val="28"/>
        </w:rPr>
      </w:pPr>
      <w:r w:rsidRPr="001069A5">
        <w:rPr>
          <w:rFonts w:ascii="仿宋" w:eastAsia="仿宋" w:hAnsi="仿宋" w:cs="Times New Roman" w:hint="eastAsia"/>
          <w:color w:val="000000"/>
          <w:kern w:val="0"/>
          <w:sz w:val="28"/>
          <w:szCs w:val="28"/>
        </w:rPr>
        <w:t>（3）本评估报告仅对被审计单位在评估基准日清理核实后的资产负债进行评估，未对可能存在的潜在资产负债、表外资产负债等进行关注。</w:t>
      </w:r>
    </w:p>
    <w:p w:rsidR="001069A5" w:rsidRPr="001069A5" w:rsidRDefault="001069A5" w:rsidP="00C63B71">
      <w:pPr>
        <w:adjustRightInd w:val="0"/>
        <w:snapToGrid w:val="0"/>
        <w:spacing w:line="560" w:lineRule="exact"/>
        <w:ind w:rightChars="-68" w:right="-143" w:firstLineChars="200" w:firstLine="560"/>
        <w:textAlignment w:val="baseline"/>
        <w:rPr>
          <w:rFonts w:ascii="仿宋" w:eastAsia="仿宋" w:hAnsi="仿宋" w:cs="Times New Roman"/>
          <w:color w:val="000000"/>
          <w:kern w:val="0"/>
          <w:sz w:val="28"/>
          <w:szCs w:val="28"/>
        </w:rPr>
      </w:pPr>
      <w:r w:rsidRPr="001069A5">
        <w:rPr>
          <w:rFonts w:ascii="仿宋" w:eastAsia="仿宋" w:hAnsi="仿宋" w:cs="Times New Roman" w:hint="eastAsia"/>
          <w:color w:val="000000"/>
          <w:kern w:val="0"/>
          <w:sz w:val="28"/>
          <w:szCs w:val="28"/>
        </w:rPr>
        <w:t>（4）盘盈资产是根据被评估单位提供的评估申报明细表，并经被评估单位和评估人员现场勘察后列入评估范围。</w:t>
      </w:r>
    </w:p>
    <w:p w:rsidR="00E35553" w:rsidRPr="001069A5" w:rsidRDefault="00E35553" w:rsidP="00C63B71">
      <w:pPr>
        <w:spacing w:line="560" w:lineRule="exact"/>
        <w:ind w:firstLineChars="200" w:firstLine="560"/>
        <w:rPr>
          <w:rFonts w:ascii="仿宋" w:eastAsia="仿宋" w:hAnsi="仿宋"/>
          <w:sz w:val="28"/>
          <w:szCs w:val="28"/>
        </w:rPr>
      </w:pPr>
      <w:r w:rsidRPr="001069A5">
        <w:rPr>
          <w:rFonts w:ascii="仿宋" w:eastAsia="仿宋" w:hAnsi="仿宋" w:hint="eastAsia"/>
          <w:sz w:val="28"/>
          <w:szCs w:val="28"/>
        </w:rPr>
        <w:t>公示日期为2020年11月27日至2020年1</w:t>
      </w:r>
      <w:r w:rsidR="0009305A">
        <w:rPr>
          <w:rFonts w:ascii="仿宋" w:eastAsia="仿宋" w:hAnsi="仿宋" w:hint="eastAsia"/>
          <w:sz w:val="28"/>
          <w:szCs w:val="28"/>
        </w:rPr>
        <w:t>2</w:t>
      </w:r>
      <w:r w:rsidRPr="001069A5">
        <w:rPr>
          <w:rFonts w:ascii="仿宋" w:eastAsia="仿宋" w:hAnsi="仿宋" w:hint="eastAsia"/>
          <w:sz w:val="28"/>
          <w:szCs w:val="28"/>
        </w:rPr>
        <w:t>月</w:t>
      </w:r>
      <w:r w:rsidR="00A90C47">
        <w:rPr>
          <w:rFonts w:ascii="仿宋" w:eastAsia="仿宋" w:hAnsi="仿宋" w:hint="eastAsia"/>
          <w:sz w:val="28"/>
          <w:szCs w:val="28"/>
        </w:rPr>
        <w:t>3</w:t>
      </w:r>
      <w:r w:rsidRPr="001069A5">
        <w:rPr>
          <w:rFonts w:ascii="仿宋" w:eastAsia="仿宋" w:hAnsi="仿宋" w:hint="eastAsia"/>
          <w:sz w:val="28"/>
          <w:szCs w:val="28"/>
        </w:rPr>
        <w:t xml:space="preserve">日，各有关当事人对资产评估情况有异议的，可以在公示期内以书面形式向四川川投凉山投资发展有限责任公司提出质疑，逾期不再受理。 </w:t>
      </w:r>
    </w:p>
    <w:p w:rsidR="00E35553" w:rsidRPr="001069A5" w:rsidRDefault="00E35553" w:rsidP="00C63B71">
      <w:pPr>
        <w:spacing w:line="560" w:lineRule="exact"/>
        <w:ind w:firstLineChars="200" w:firstLine="560"/>
        <w:jc w:val="left"/>
        <w:rPr>
          <w:rFonts w:ascii="仿宋" w:eastAsia="仿宋" w:hAnsi="仿宋"/>
          <w:sz w:val="28"/>
          <w:szCs w:val="28"/>
        </w:rPr>
      </w:pPr>
      <w:r w:rsidRPr="001069A5">
        <w:rPr>
          <w:rFonts w:ascii="仿宋" w:eastAsia="仿宋" w:hAnsi="仿宋" w:hint="eastAsia"/>
          <w:sz w:val="28"/>
          <w:szCs w:val="28"/>
        </w:rPr>
        <w:lastRenderedPageBreak/>
        <w:t>电话：19915760038</w:t>
      </w:r>
      <w:bookmarkStart w:id="5" w:name="_GoBack"/>
      <w:bookmarkEnd w:id="5"/>
    </w:p>
    <w:p w:rsidR="00E35553" w:rsidRPr="001069A5" w:rsidRDefault="00E35553" w:rsidP="00C63B71">
      <w:pPr>
        <w:spacing w:line="560" w:lineRule="exact"/>
        <w:ind w:firstLineChars="200" w:firstLine="560"/>
        <w:jc w:val="left"/>
        <w:rPr>
          <w:rFonts w:ascii="仿宋" w:eastAsia="仿宋" w:hAnsi="仿宋"/>
          <w:sz w:val="28"/>
          <w:szCs w:val="28"/>
        </w:rPr>
      </w:pPr>
      <w:r w:rsidRPr="001069A5">
        <w:rPr>
          <w:rFonts w:ascii="仿宋" w:eastAsia="仿宋" w:hAnsi="仿宋" w:hint="eastAsia"/>
          <w:sz w:val="28"/>
          <w:szCs w:val="28"/>
        </w:rPr>
        <w:t>邮箱：824372690@qq.com</w:t>
      </w:r>
      <w:r w:rsidRPr="001069A5">
        <w:rPr>
          <w:rFonts w:ascii="宋体" w:eastAsia="宋体" w:hAnsi="宋体" w:cs="宋体" w:hint="eastAsia"/>
          <w:sz w:val="28"/>
          <w:szCs w:val="28"/>
        </w:rPr>
        <w:t> </w:t>
      </w:r>
      <w:r w:rsidRPr="001069A5">
        <w:rPr>
          <w:rFonts w:ascii="仿宋" w:eastAsia="仿宋" w:hAnsi="仿宋" w:hint="eastAsia"/>
          <w:sz w:val="28"/>
          <w:szCs w:val="28"/>
        </w:rPr>
        <w:t xml:space="preserve"> </w:t>
      </w:r>
    </w:p>
    <w:p w:rsidR="00EA0ECB" w:rsidRPr="001069A5" w:rsidRDefault="00EA0ECB" w:rsidP="001069A5">
      <w:pPr>
        <w:ind w:firstLineChars="200" w:firstLine="560"/>
        <w:jc w:val="left"/>
        <w:rPr>
          <w:rFonts w:ascii="仿宋" w:eastAsia="仿宋" w:hAnsi="仿宋"/>
          <w:sz w:val="28"/>
          <w:szCs w:val="28"/>
        </w:rPr>
      </w:pPr>
    </w:p>
    <w:p w:rsidR="00EA0ECB" w:rsidRPr="001069A5" w:rsidRDefault="00EA0ECB" w:rsidP="001069A5">
      <w:pPr>
        <w:ind w:firstLineChars="200" w:firstLine="560"/>
        <w:jc w:val="left"/>
        <w:rPr>
          <w:rFonts w:ascii="仿宋" w:eastAsia="仿宋" w:hAnsi="仿宋"/>
          <w:sz w:val="28"/>
          <w:szCs w:val="28"/>
        </w:rPr>
      </w:pPr>
    </w:p>
    <w:p w:rsidR="002D2C3F" w:rsidRPr="001069A5" w:rsidRDefault="00EA0ECB" w:rsidP="001069A5">
      <w:pPr>
        <w:ind w:firstLineChars="200" w:firstLine="560"/>
        <w:jc w:val="right"/>
        <w:rPr>
          <w:rFonts w:ascii="仿宋" w:eastAsia="仿宋" w:hAnsi="仿宋"/>
          <w:sz w:val="28"/>
          <w:szCs w:val="28"/>
        </w:rPr>
      </w:pPr>
      <w:r w:rsidRPr="001069A5">
        <w:rPr>
          <w:rFonts w:ascii="仿宋" w:eastAsia="仿宋" w:hAnsi="仿宋" w:hint="eastAsia"/>
          <w:sz w:val="28"/>
          <w:szCs w:val="28"/>
        </w:rPr>
        <w:t>四川川投凉山投资发展有限责任公司</w:t>
      </w:r>
    </w:p>
    <w:p w:rsidR="00697886" w:rsidRPr="001069A5" w:rsidRDefault="00697886" w:rsidP="001069A5">
      <w:pPr>
        <w:ind w:firstLineChars="200" w:firstLine="560"/>
        <w:jc w:val="center"/>
        <w:rPr>
          <w:rFonts w:ascii="仿宋" w:eastAsia="仿宋" w:hAnsi="仿宋"/>
          <w:sz w:val="28"/>
          <w:szCs w:val="28"/>
        </w:rPr>
      </w:pPr>
      <w:r w:rsidRPr="001069A5">
        <w:rPr>
          <w:rFonts w:ascii="仿宋" w:eastAsia="仿宋" w:hAnsi="仿宋" w:hint="eastAsia"/>
          <w:sz w:val="28"/>
          <w:szCs w:val="28"/>
        </w:rPr>
        <w:t xml:space="preserve">                 2020年11月</w:t>
      </w:r>
      <w:r w:rsidR="00FD44A9">
        <w:rPr>
          <w:rFonts w:ascii="仿宋" w:eastAsia="仿宋" w:hAnsi="仿宋" w:hint="eastAsia"/>
          <w:sz w:val="28"/>
          <w:szCs w:val="28"/>
        </w:rPr>
        <w:t>27</w:t>
      </w:r>
      <w:r w:rsidRPr="001069A5">
        <w:rPr>
          <w:rFonts w:ascii="仿宋" w:eastAsia="仿宋" w:hAnsi="仿宋" w:hint="eastAsia"/>
          <w:sz w:val="28"/>
          <w:szCs w:val="28"/>
        </w:rPr>
        <w:t>日</w:t>
      </w:r>
    </w:p>
    <w:sectPr w:rsidR="00697886" w:rsidRPr="001069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CD" w:rsidRDefault="00017ECD" w:rsidP="001568DC">
      <w:r>
        <w:separator/>
      </w:r>
    </w:p>
  </w:endnote>
  <w:endnote w:type="continuationSeparator" w:id="0">
    <w:p w:rsidR="00017ECD" w:rsidRDefault="00017ECD" w:rsidP="0015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CD" w:rsidRDefault="00017ECD" w:rsidP="001568DC">
      <w:r>
        <w:separator/>
      </w:r>
    </w:p>
  </w:footnote>
  <w:footnote w:type="continuationSeparator" w:id="0">
    <w:p w:rsidR="00017ECD" w:rsidRDefault="00017ECD" w:rsidP="00156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39"/>
    <w:rsid w:val="00017ECD"/>
    <w:rsid w:val="0009305A"/>
    <w:rsid w:val="000C637E"/>
    <w:rsid w:val="001069A5"/>
    <w:rsid w:val="001278C5"/>
    <w:rsid w:val="001568DC"/>
    <w:rsid w:val="001A7733"/>
    <w:rsid w:val="002D2C3F"/>
    <w:rsid w:val="003A6116"/>
    <w:rsid w:val="003F3DD1"/>
    <w:rsid w:val="00474F3D"/>
    <w:rsid w:val="005745EB"/>
    <w:rsid w:val="00697886"/>
    <w:rsid w:val="007C0ACA"/>
    <w:rsid w:val="008465AC"/>
    <w:rsid w:val="0091182F"/>
    <w:rsid w:val="009134EE"/>
    <w:rsid w:val="0097616D"/>
    <w:rsid w:val="00A90C47"/>
    <w:rsid w:val="00AF2E67"/>
    <w:rsid w:val="00C22284"/>
    <w:rsid w:val="00C63B71"/>
    <w:rsid w:val="00CA5A39"/>
    <w:rsid w:val="00D4033D"/>
    <w:rsid w:val="00D879AC"/>
    <w:rsid w:val="00E35553"/>
    <w:rsid w:val="00EA0ECB"/>
    <w:rsid w:val="00F856E9"/>
    <w:rsid w:val="00FD4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68DC"/>
    <w:rPr>
      <w:sz w:val="18"/>
      <w:szCs w:val="18"/>
    </w:rPr>
  </w:style>
  <w:style w:type="paragraph" w:styleId="a4">
    <w:name w:val="footer"/>
    <w:basedOn w:val="a"/>
    <w:link w:val="Char0"/>
    <w:uiPriority w:val="99"/>
    <w:unhideWhenUsed/>
    <w:rsid w:val="001568DC"/>
    <w:pPr>
      <w:tabs>
        <w:tab w:val="center" w:pos="4153"/>
        <w:tab w:val="right" w:pos="8306"/>
      </w:tabs>
      <w:snapToGrid w:val="0"/>
      <w:jc w:val="left"/>
    </w:pPr>
    <w:rPr>
      <w:sz w:val="18"/>
      <w:szCs w:val="18"/>
    </w:rPr>
  </w:style>
  <w:style w:type="character" w:customStyle="1" w:styleId="Char0">
    <w:name w:val="页脚 Char"/>
    <w:basedOn w:val="a0"/>
    <w:link w:val="a4"/>
    <w:uiPriority w:val="99"/>
    <w:rsid w:val="001568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68DC"/>
    <w:rPr>
      <w:sz w:val="18"/>
      <w:szCs w:val="18"/>
    </w:rPr>
  </w:style>
  <w:style w:type="paragraph" w:styleId="a4">
    <w:name w:val="footer"/>
    <w:basedOn w:val="a"/>
    <w:link w:val="Char0"/>
    <w:uiPriority w:val="99"/>
    <w:unhideWhenUsed/>
    <w:rsid w:val="001568DC"/>
    <w:pPr>
      <w:tabs>
        <w:tab w:val="center" w:pos="4153"/>
        <w:tab w:val="right" w:pos="8306"/>
      </w:tabs>
      <w:snapToGrid w:val="0"/>
      <w:jc w:val="left"/>
    </w:pPr>
    <w:rPr>
      <w:sz w:val="18"/>
      <w:szCs w:val="18"/>
    </w:rPr>
  </w:style>
  <w:style w:type="character" w:customStyle="1" w:styleId="Char0">
    <w:name w:val="页脚 Char"/>
    <w:basedOn w:val="a0"/>
    <w:link w:val="a4"/>
    <w:uiPriority w:val="99"/>
    <w:rsid w:val="001568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202</Words>
  <Characters>1154</Characters>
  <Application>Microsoft Office Word</Application>
  <DocSecurity>0</DocSecurity>
  <Lines>9</Lines>
  <Paragraphs>2</Paragraphs>
  <ScaleCrop>false</ScaleCrop>
  <Company>微软中国</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谌兰</dc:creator>
  <cp:keywords/>
  <dc:description/>
  <cp:lastModifiedBy>谌兰</cp:lastModifiedBy>
  <cp:revision>25</cp:revision>
  <dcterms:created xsi:type="dcterms:W3CDTF">2020-11-27T04:00:00Z</dcterms:created>
  <dcterms:modified xsi:type="dcterms:W3CDTF">2020-11-27T06:59:00Z</dcterms:modified>
</cp:coreProperties>
</file>