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bookmarkStart w:id="0" w:name="OLE_LINK3"/>
      <w:r>
        <w:rPr>
          <w:rFonts w:hint="eastAsia"/>
          <w:b/>
          <w:bCs/>
          <w:sz w:val="36"/>
          <w:szCs w:val="36"/>
        </w:rPr>
        <w:t>西昌川投大健康科技有限公司</w:t>
      </w:r>
    </w:p>
    <w:bookmarkEnd w:id="0"/>
    <w:p>
      <w:pPr>
        <w:spacing w:line="360" w:lineRule="auto"/>
        <w:jc w:val="center"/>
        <w:rPr>
          <w:rFonts w:hint="eastAsia"/>
          <w:b/>
          <w:bCs/>
          <w:sz w:val="36"/>
          <w:szCs w:val="36"/>
        </w:rPr>
      </w:pPr>
      <w:r>
        <w:rPr>
          <w:rFonts w:hint="eastAsia"/>
          <w:b/>
          <w:bCs/>
          <w:sz w:val="36"/>
          <w:szCs w:val="36"/>
        </w:rPr>
        <w:t>川投西昌医2026-2029年放射诊疗人员计量检测、设备状态检测及环境监测服务采购项目比选公告</w:t>
      </w:r>
    </w:p>
    <w:p>
      <w:pPr>
        <w:spacing w:line="580" w:lineRule="exact"/>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xml:space="preserve">一、基本情况  </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（以下简称：</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lang w:val="en-US" w:eastAsia="zh-CN"/>
        </w:rPr>
        <w:t>人、谈判人</w:t>
      </w:r>
      <w:r>
        <w:rPr>
          <w:rFonts w:hint="eastAsia" w:ascii="宋体" w:hAnsi="宋体" w:eastAsia="宋体" w:cs="宋体"/>
          <w:color w:val="auto"/>
          <w:sz w:val="28"/>
          <w:szCs w:val="28"/>
          <w:highlight w:val="none"/>
        </w:rPr>
        <w:t>，合同中简称“甲方”）为西昌川投大健康科技有限公司，公司</w:t>
      </w:r>
      <w:r>
        <w:rPr>
          <w:rFonts w:hint="eastAsia" w:ascii="宋体" w:hAnsi="宋体" w:eastAsia="宋体" w:cs="宋体"/>
          <w:color w:val="auto"/>
          <w:sz w:val="28"/>
          <w:szCs w:val="28"/>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川投西昌医院（以下简称“医院”）是四川省支持凉山州做好巩固拓展脱贫攻坚成果同乡村振兴有效衔接的省州市重点项目，由四川省人民医院托管运营。医院按照国际JCI标准，拟建成集教学、培训、科研等为一体的多功能现代三级甲等综合医院。</w:t>
      </w:r>
    </w:p>
    <w:p>
      <w:pPr>
        <w:numPr>
          <w:ilvl w:val="-1"/>
          <w:numId w:val="0"/>
        </w:numPr>
        <w:wordWrap w:val="0"/>
        <w:autoSpaceDE w:val="0"/>
        <w:autoSpaceDN w:val="0"/>
        <w:spacing w:line="580" w:lineRule="exact"/>
        <w:ind w:firstLine="560" w:firstLineChars="200"/>
        <w:jc w:val="left"/>
        <w:rPr>
          <w:rFonts w:hint="eastAsia"/>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cs="宋体"/>
          <w:bCs w:val="0"/>
          <w:color w:val="auto"/>
          <w:sz w:val="28"/>
          <w:szCs w:val="28"/>
          <w:highlight w:val="none"/>
          <w:lang w:eastAsia="zh-CN"/>
        </w:rPr>
        <w:t>川投西昌医院202</w:t>
      </w:r>
      <w:r>
        <w:rPr>
          <w:rFonts w:hint="eastAsia" w:ascii="宋体" w:hAnsi="宋体" w:cs="宋体"/>
          <w:bCs w:val="0"/>
          <w:color w:val="auto"/>
          <w:sz w:val="28"/>
          <w:szCs w:val="28"/>
          <w:highlight w:val="none"/>
          <w:lang w:val="en-US" w:eastAsia="zh-CN"/>
        </w:rPr>
        <w:t>6-2029</w:t>
      </w:r>
      <w:r>
        <w:rPr>
          <w:rFonts w:hint="eastAsia" w:ascii="宋体" w:hAnsi="宋体" w:cs="宋体"/>
          <w:bCs w:val="0"/>
          <w:color w:val="auto"/>
          <w:sz w:val="28"/>
          <w:szCs w:val="28"/>
          <w:highlight w:val="none"/>
          <w:lang w:eastAsia="zh-CN"/>
        </w:rPr>
        <w:t>年放射诊疗人员计量检测、设备状态检测及环境监测服务</w:t>
      </w:r>
      <w:r>
        <w:rPr>
          <w:rFonts w:hint="eastAsia" w:ascii="宋体" w:hAnsi="宋体" w:cs="宋体"/>
          <w:bCs w:val="0"/>
          <w:color w:val="auto"/>
          <w:sz w:val="28"/>
          <w:szCs w:val="28"/>
          <w:highlight w:val="none"/>
          <w:lang w:val="en-US" w:eastAsia="zh-CN"/>
        </w:rPr>
        <w:t>采购项目</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响应人（以下简称：响应人，合同中简称“乙方”）参与谈判。</w:t>
      </w:r>
      <w:bookmarkStart w:id="1" w:name="_Toc1542"/>
      <w:r>
        <w:rPr>
          <w:rFonts w:hint="eastAsia" w:ascii="宋体" w:hAnsi="宋体" w:cs="宋体"/>
          <w:b/>
          <w:color w:val="auto"/>
          <w:sz w:val="28"/>
          <w:szCs w:val="28"/>
          <w:highlight w:val="none"/>
          <w:lang w:val="en-US" w:eastAsia="zh-CN"/>
        </w:rPr>
        <w:t xml:space="preserve"> </w:t>
      </w:r>
    </w:p>
    <w:bookmarkEnd w:id="1"/>
    <w:p>
      <w:pPr>
        <w:numPr>
          <w:ilvl w:val="0"/>
          <w:numId w:val="0"/>
        </w:numPr>
        <w:spacing w:line="360" w:lineRule="auto"/>
        <w:rPr>
          <w:rFonts w:hint="eastAsia" w:ascii="宋体" w:hAnsi="宋体" w:cs="宋体"/>
          <w:sz w:val="28"/>
          <w:szCs w:val="28"/>
        </w:rPr>
      </w:pPr>
      <w:r>
        <w:rPr>
          <w:rFonts w:hint="eastAsia" w:ascii="宋体" w:hAnsi="宋体" w:cs="宋体"/>
          <w:b/>
          <w:sz w:val="28"/>
          <w:szCs w:val="28"/>
          <w:lang w:val="en-US" w:eastAsia="zh"/>
        </w:rPr>
        <w:t>二</w:t>
      </w:r>
      <w:r>
        <w:rPr>
          <w:rFonts w:hint="eastAsia" w:ascii="宋体" w:hAnsi="宋体" w:cs="宋体"/>
          <w:b/>
          <w:sz w:val="28"/>
          <w:szCs w:val="28"/>
          <w:lang w:val="en-US" w:eastAsia="zh-CN"/>
        </w:rPr>
        <w:t>、</w:t>
      </w:r>
      <w:r>
        <w:rPr>
          <w:rFonts w:hint="eastAsia" w:ascii="宋体" w:hAnsi="宋体" w:eastAsia="宋体" w:cs="宋体"/>
          <w:b/>
          <w:sz w:val="28"/>
          <w:szCs w:val="28"/>
          <w:lang w:val="zh-CN"/>
        </w:rPr>
        <w:t>工作</w:t>
      </w:r>
      <w:r>
        <w:rPr>
          <w:rFonts w:hint="eastAsia" w:ascii="宋体" w:hAnsi="宋体" w:cs="宋体"/>
          <w:b/>
          <w:sz w:val="28"/>
          <w:szCs w:val="28"/>
          <w:lang w:val="zh-CN"/>
        </w:rPr>
        <w:t>内容</w:t>
      </w:r>
      <w:r>
        <w:rPr>
          <w:rFonts w:hint="eastAsia" w:ascii="宋体" w:hAnsi="宋体" w:cs="宋体"/>
          <w:b/>
          <w:sz w:val="28"/>
          <w:szCs w:val="28"/>
          <w:lang w:val="en-US" w:eastAsia="zh-CN"/>
        </w:rPr>
        <w:t>及</w:t>
      </w:r>
      <w:r>
        <w:rPr>
          <w:rFonts w:hint="eastAsia" w:ascii="宋体" w:hAnsi="宋体" w:cs="宋体"/>
          <w:b/>
          <w:sz w:val="28"/>
          <w:szCs w:val="28"/>
          <w:lang w:val="zh-CN"/>
        </w:rPr>
        <w:t>要求</w:t>
      </w:r>
    </w:p>
    <w:p>
      <w:pPr>
        <w:numPr>
          <w:ilvl w:val="0"/>
          <w:numId w:val="0"/>
        </w:numPr>
        <w:spacing w:line="360" w:lineRule="auto"/>
        <w:ind w:firstLine="560" w:firstLineChars="200"/>
        <w:jc w:val="left"/>
        <w:rPr>
          <w:rFonts w:hint="eastAsia" w:ascii="宋体" w:hAnsi="宋体" w:eastAsia="宋体" w:cs="宋体"/>
          <w:color w:val="auto"/>
          <w:kern w:val="2"/>
          <w:sz w:val="28"/>
          <w:szCs w:val="28"/>
          <w:highlight w:val="none"/>
          <w:lang w:eastAsia="zh-CN"/>
        </w:rPr>
      </w:pPr>
      <w:r>
        <w:rPr>
          <w:rFonts w:hint="eastAsia" w:ascii="宋体" w:hAnsi="宋体" w:cs="宋体"/>
          <w:color w:val="auto"/>
          <w:kern w:val="2"/>
          <w:sz w:val="28"/>
          <w:szCs w:val="28"/>
          <w:highlight w:val="none"/>
          <w:lang w:val="en-US" w:eastAsia="zh-CN" w:bidi="ar-SA"/>
        </w:rPr>
        <w:t>按照</w:t>
      </w:r>
      <w:r>
        <w:rPr>
          <w:rFonts w:hint="eastAsia" w:ascii="宋体" w:hAnsi="宋体" w:eastAsia="宋体" w:cs="宋体"/>
          <w:color w:val="auto"/>
          <w:kern w:val="2"/>
          <w:sz w:val="28"/>
          <w:szCs w:val="28"/>
          <w:highlight w:val="none"/>
          <w:lang w:val="en-US" w:eastAsia="zh-CN" w:bidi="ar-SA"/>
        </w:rPr>
        <w:t>《放射性同位素与射线装置安全和防护条例》、《放射诊疗管理规定》、《医用辐射防护与质量控制监测规范》等国家法律法规及行业标准完成比选人医院所有放射诊疗科室（包括放射科、DSA手术室、肿瘤科、泌尿外科、体检中心、口腔科等）的</w:t>
      </w:r>
      <w:r>
        <w:rPr>
          <w:rFonts w:hint="eastAsia" w:ascii="宋体" w:hAnsi="宋体" w:eastAsia="宋体" w:cs="宋体"/>
          <w:bCs w:val="0"/>
          <w:color w:val="auto"/>
          <w:sz w:val="28"/>
          <w:szCs w:val="28"/>
          <w:highlight w:val="none"/>
        </w:rPr>
        <w:t>设备状态检测及环境监测</w:t>
      </w:r>
      <w:r>
        <w:rPr>
          <w:rFonts w:hint="eastAsia" w:ascii="宋体" w:hAnsi="宋体" w:cs="宋体"/>
          <w:bCs w:val="0"/>
          <w:color w:val="auto"/>
          <w:sz w:val="28"/>
          <w:szCs w:val="28"/>
          <w:highlight w:val="none"/>
          <w:lang w:eastAsia="zh-CN"/>
        </w:rPr>
        <w:t>、</w:t>
      </w:r>
      <w:r>
        <w:rPr>
          <w:rFonts w:hint="eastAsia" w:ascii="宋体" w:hAnsi="宋体" w:eastAsia="宋体" w:cs="宋体"/>
          <w:bCs w:val="0"/>
          <w:color w:val="auto"/>
          <w:sz w:val="28"/>
          <w:szCs w:val="28"/>
          <w:highlight w:val="none"/>
        </w:rPr>
        <w:t>放射诊疗人员计量检测</w:t>
      </w:r>
      <w:r>
        <w:rPr>
          <w:rFonts w:hint="eastAsia" w:ascii="宋体" w:hAnsi="宋体" w:cs="宋体"/>
          <w:bCs w:val="0"/>
          <w:color w:val="auto"/>
          <w:sz w:val="28"/>
          <w:szCs w:val="28"/>
          <w:highlight w:val="none"/>
          <w:lang w:eastAsia="zh-CN"/>
        </w:rPr>
        <w:t>、</w:t>
      </w:r>
      <w:r>
        <w:rPr>
          <w:rFonts w:hint="eastAsia" w:ascii="宋体" w:hAnsi="宋体" w:eastAsia="宋体" w:cs="宋体"/>
          <w:i w:val="0"/>
          <w:iCs w:val="0"/>
          <w:color w:val="auto"/>
          <w:sz w:val="28"/>
          <w:szCs w:val="28"/>
          <w:highlight w:val="none"/>
          <w:u w:val="none"/>
          <w:lang w:val="en-US" w:eastAsia="zh-CN"/>
        </w:rPr>
        <w:t>仪器校准</w:t>
      </w:r>
      <w:r>
        <w:rPr>
          <w:rFonts w:hint="eastAsia" w:ascii="宋体" w:hAnsi="宋体" w:cs="宋体"/>
          <w:i w:val="0"/>
          <w:iCs w:val="0"/>
          <w:color w:val="auto"/>
          <w:sz w:val="28"/>
          <w:szCs w:val="28"/>
          <w:highlight w:val="none"/>
          <w:u w:val="none"/>
          <w:lang w:val="en-US" w:eastAsia="zh-CN"/>
        </w:rPr>
        <w:t>等</w:t>
      </w:r>
      <w:r>
        <w:rPr>
          <w:rFonts w:hint="eastAsia" w:ascii="宋体" w:hAnsi="宋体" w:eastAsia="宋体" w:cs="宋体"/>
          <w:color w:val="auto"/>
          <w:kern w:val="2"/>
          <w:sz w:val="28"/>
          <w:szCs w:val="28"/>
          <w:highlight w:val="none"/>
          <w:lang w:val="en-US" w:eastAsia="zh-CN" w:bidi="ar-SA"/>
        </w:rPr>
        <w:t>工作。具体详见第五</w:t>
      </w:r>
      <w:r>
        <w:rPr>
          <w:rFonts w:hint="eastAsia" w:ascii="宋体" w:hAnsi="宋体" w:cs="宋体"/>
          <w:color w:val="auto"/>
          <w:kern w:val="2"/>
          <w:sz w:val="28"/>
          <w:szCs w:val="28"/>
          <w:highlight w:val="none"/>
          <w:lang w:val="en-US" w:eastAsia="zh-CN" w:bidi="ar-SA"/>
        </w:rPr>
        <w:t>部分</w:t>
      </w:r>
      <w:r>
        <w:rPr>
          <w:rFonts w:hint="eastAsia" w:ascii="宋体" w:hAnsi="宋体" w:eastAsia="宋体" w:cs="宋体"/>
          <w:color w:val="auto"/>
          <w:kern w:val="2"/>
          <w:sz w:val="28"/>
          <w:szCs w:val="28"/>
          <w:highlight w:val="none"/>
          <w:lang w:val="en-US" w:eastAsia="zh-CN" w:bidi="ar-SA"/>
        </w:rPr>
        <w:t>技术规范书。</w:t>
      </w:r>
    </w:p>
    <w:p>
      <w:pPr>
        <w:numPr>
          <w:ilvl w:val="0"/>
          <w:numId w:val="0"/>
        </w:numPr>
        <w:spacing w:line="580" w:lineRule="exact"/>
        <w:rPr>
          <w:rFonts w:hint="eastAsia" w:ascii="宋体" w:hAnsi="宋体" w:eastAsia="宋体" w:cs="宋体"/>
          <w:b/>
          <w:sz w:val="28"/>
          <w:szCs w:val="28"/>
          <w:lang w:val="en-US" w:eastAsia="zh-CN"/>
        </w:rPr>
      </w:pPr>
      <w:r>
        <w:rPr>
          <w:rFonts w:hint="eastAsia" w:ascii="宋体" w:hAnsi="宋体" w:cs="宋体"/>
          <w:b/>
          <w:sz w:val="28"/>
          <w:szCs w:val="28"/>
          <w:lang w:val="en-US" w:eastAsia="zh"/>
        </w:rPr>
        <w:t>三</w:t>
      </w:r>
      <w:r>
        <w:rPr>
          <w:rFonts w:hint="eastAsia" w:ascii="宋体" w:hAnsi="宋体" w:eastAsia="宋体" w:cs="宋体"/>
          <w:b/>
          <w:sz w:val="28"/>
          <w:szCs w:val="28"/>
          <w:lang w:val="en-US" w:eastAsia="zh-CN"/>
        </w:rPr>
        <w:t>、服务期限</w:t>
      </w:r>
    </w:p>
    <w:p>
      <w:pPr>
        <w:widowControl/>
        <w:numPr>
          <w:ilvl w:val="0"/>
          <w:numId w:val="0"/>
        </w:numPr>
        <w:spacing w:line="580" w:lineRule="exact"/>
        <w:ind w:firstLine="560" w:firstLineChars="200"/>
        <w:rPr>
          <w:rFonts w:hint="eastAsia" w:ascii="宋体" w:hAnsi="宋体" w:eastAsia="宋体" w:cs="宋体"/>
          <w:kern w:val="24"/>
          <w:sz w:val="28"/>
          <w:szCs w:val="28"/>
          <w:highlight w:val="none"/>
          <w:lang w:val="en-US" w:eastAsia="zh-CN"/>
        </w:rPr>
      </w:pPr>
      <w:r>
        <w:rPr>
          <w:rFonts w:hint="eastAsia" w:ascii="宋体" w:hAnsi="宋体" w:eastAsia="宋体" w:cs="宋体"/>
          <w:b w:val="0"/>
          <w:bCs w:val="0"/>
          <w:i w:val="0"/>
          <w:caps w:val="0"/>
          <w:spacing w:val="0"/>
          <w:kern w:val="24"/>
          <w:sz w:val="28"/>
          <w:szCs w:val="28"/>
          <w:shd w:val="clear" w:color="auto" w:fill="auto"/>
          <w:lang w:val="en-US" w:eastAsia="zh-CN"/>
        </w:rPr>
        <w:t>本次采购项目服务期限为</w:t>
      </w:r>
      <w:r>
        <w:rPr>
          <w:rFonts w:hint="eastAsia" w:ascii="宋体" w:hAnsi="宋体" w:cs="宋体"/>
          <w:b w:val="0"/>
          <w:bCs w:val="0"/>
          <w:i w:val="0"/>
          <w:caps w:val="0"/>
          <w:spacing w:val="0"/>
          <w:kern w:val="24"/>
          <w:sz w:val="28"/>
          <w:szCs w:val="28"/>
          <w:shd w:val="clear" w:color="auto" w:fill="auto"/>
          <w:lang w:val="en-US" w:eastAsia="zh-CN"/>
        </w:rPr>
        <w:t>三</w:t>
      </w:r>
      <w:r>
        <w:rPr>
          <w:rFonts w:hint="eastAsia" w:ascii="宋体" w:hAnsi="宋体" w:eastAsia="宋体" w:cs="宋体"/>
          <w:b w:val="0"/>
          <w:bCs w:val="0"/>
          <w:i w:val="0"/>
          <w:caps w:val="0"/>
          <w:spacing w:val="0"/>
          <w:kern w:val="24"/>
          <w:sz w:val="28"/>
          <w:szCs w:val="28"/>
          <w:shd w:val="clear" w:color="auto" w:fill="auto"/>
          <w:lang w:val="en-US" w:eastAsia="zh-CN"/>
        </w:rPr>
        <w:t>年</w:t>
      </w:r>
      <w:r>
        <w:rPr>
          <w:rFonts w:hint="eastAsia" w:ascii="宋体" w:hAnsi="宋体" w:cs="宋体"/>
          <w:b w:val="0"/>
          <w:bCs w:val="0"/>
          <w:i w:val="0"/>
          <w:caps w:val="0"/>
          <w:spacing w:val="0"/>
          <w:kern w:val="24"/>
          <w:sz w:val="28"/>
          <w:szCs w:val="28"/>
          <w:highlight w:val="none"/>
          <w:shd w:val="clear" w:color="auto" w:fill="auto"/>
          <w:lang w:val="en-US" w:eastAsia="zh-CN"/>
        </w:rPr>
        <w:t>（2026年</w:t>
      </w:r>
      <w:r>
        <w:rPr>
          <w:rFonts w:hint="eastAsia" w:ascii="宋体" w:hAnsi="宋体" w:cs="宋体"/>
          <w:b w:val="0"/>
          <w:bCs w:val="0"/>
          <w:i w:val="0"/>
          <w:caps w:val="0"/>
          <w:spacing w:val="0"/>
          <w:kern w:val="24"/>
          <w:sz w:val="28"/>
          <w:szCs w:val="28"/>
          <w:highlight w:val="none"/>
          <w:shd w:val="clear" w:color="auto" w:fill="auto"/>
          <w:lang w:val="en-US" w:eastAsia="zh"/>
        </w:rPr>
        <w:t>4</w:t>
      </w:r>
      <w:r>
        <w:rPr>
          <w:rFonts w:hint="eastAsia" w:ascii="宋体" w:hAnsi="宋体" w:cs="宋体"/>
          <w:b w:val="0"/>
          <w:bCs w:val="0"/>
          <w:i w:val="0"/>
          <w:caps w:val="0"/>
          <w:spacing w:val="0"/>
          <w:kern w:val="24"/>
          <w:sz w:val="28"/>
          <w:szCs w:val="28"/>
          <w:highlight w:val="none"/>
          <w:shd w:val="clear" w:color="auto" w:fill="auto"/>
          <w:lang w:val="en-US" w:eastAsia="zh-CN"/>
        </w:rPr>
        <w:t>月</w:t>
      </w:r>
      <w:r>
        <w:rPr>
          <w:rFonts w:hint="eastAsia" w:ascii="宋体" w:hAnsi="宋体" w:cs="宋体"/>
          <w:b w:val="0"/>
          <w:bCs w:val="0"/>
          <w:i w:val="0"/>
          <w:caps w:val="0"/>
          <w:spacing w:val="0"/>
          <w:kern w:val="24"/>
          <w:sz w:val="28"/>
          <w:szCs w:val="28"/>
          <w:highlight w:val="none"/>
          <w:shd w:val="clear" w:color="auto" w:fill="auto"/>
          <w:lang w:val="en-US" w:eastAsia="zh"/>
        </w:rPr>
        <w:t>30</w:t>
      </w:r>
      <w:r>
        <w:rPr>
          <w:rFonts w:hint="eastAsia" w:ascii="宋体" w:hAnsi="宋体" w:cs="宋体"/>
          <w:b w:val="0"/>
          <w:bCs w:val="0"/>
          <w:i w:val="0"/>
          <w:caps w:val="0"/>
          <w:spacing w:val="0"/>
          <w:kern w:val="24"/>
          <w:sz w:val="28"/>
          <w:szCs w:val="28"/>
          <w:highlight w:val="none"/>
          <w:shd w:val="clear" w:color="auto" w:fill="auto"/>
          <w:lang w:val="en-US" w:eastAsia="zh-CN"/>
        </w:rPr>
        <w:t>日至2029年4月</w:t>
      </w:r>
      <w:r>
        <w:rPr>
          <w:rFonts w:hint="eastAsia" w:ascii="宋体" w:hAnsi="宋体" w:cs="宋体"/>
          <w:b w:val="0"/>
          <w:bCs w:val="0"/>
          <w:i w:val="0"/>
          <w:caps w:val="0"/>
          <w:spacing w:val="0"/>
          <w:kern w:val="24"/>
          <w:sz w:val="28"/>
          <w:szCs w:val="28"/>
          <w:highlight w:val="none"/>
          <w:shd w:val="clear" w:color="auto" w:fill="auto"/>
          <w:lang w:val="en-US" w:eastAsia="zh"/>
        </w:rPr>
        <w:t>29</w:t>
      </w:r>
      <w:r>
        <w:rPr>
          <w:rFonts w:hint="eastAsia" w:ascii="宋体" w:hAnsi="宋体" w:cs="宋体"/>
          <w:b w:val="0"/>
          <w:bCs w:val="0"/>
          <w:i w:val="0"/>
          <w:caps w:val="0"/>
          <w:spacing w:val="0"/>
          <w:kern w:val="24"/>
          <w:sz w:val="28"/>
          <w:szCs w:val="28"/>
          <w:highlight w:val="none"/>
          <w:shd w:val="clear" w:color="auto" w:fill="auto"/>
          <w:lang w:val="en-US" w:eastAsia="zh-CN"/>
        </w:rPr>
        <w:t>日）</w:t>
      </w:r>
      <w:r>
        <w:rPr>
          <w:rFonts w:hint="eastAsia" w:ascii="宋体" w:hAnsi="宋体" w:eastAsia="宋体" w:cs="宋体"/>
          <w:b w:val="0"/>
          <w:bCs w:val="0"/>
          <w:i w:val="0"/>
          <w:caps w:val="0"/>
          <w:spacing w:val="0"/>
          <w:kern w:val="24"/>
          <w:sz w:val="28"/>
          <w:szCs w:val="28"/>
          <w:highlight w:val="none"/>
          <w:shd w:val="clear" w:color="auto" w:fill="auto"/>
        </w:rPr>
        <w:t>。</w:t>
      </w:r>
    </w:p>
    <w:p>
      <w:pPr>
        <w:numPr>
          <w:ilvl w:val="0"/>
          <w:numId w:val="0"/>
        </w:numPr>
        <w:spacing w:line="580" w:lineRule="exact"/>
        <w:rPr>
          <w:rFonts w:hint="eastAsia"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lang w:eastAsia="zh-CN"/>
        </w:rPr>
        <w:t>比选</w:t>
      </w:r>
      <w:r>
        <w:rPr>
          <w:rFonts w:hint="eastAsia" w:ascii="宋体" w:hAnsi="宋体" w:cs="宋体"/>
          <w:b/>
          <w:sz w:val="28"/>
          <w:szCs w:val="28"/>
        </w:rPr>
        <w:t>限价</w:t>
      </w:r>
    </w:p>
    <w:p>
      <w:pPr>
        <w:spacing w:line="580" w:lineRule="exact"/>
        <w:ind w:firstLine="560" w:firstLineChars="200"/>
        <w:jc w:val="left"/>
        <w:rPr>
          <w:rFonts w:hint="eastAsia" w:ascii="宋体" w:hAnsi="宋体" w:cs="宋体"/>
          <w:kern w:val="24"/>
          <w:sz w:val="28"/>
          <w:szCs w:val="28"/>
          <w:highlight w:val="none"/>
        </w:rPr>
      </w:pPr>
      <w:r>
        <w:rPr>
          <w:rFonts w:hint="eastAsia" w:ascii="宋体" w:hAnsi="宋体" w:eastAsia="宋体" w:cs="宋体"/>
          <w:w w:val="100"/>
          <w:kern w:val="24"/>
          <w:sz w:val="28"/>
          <w:szCs w:val="28"/>
          <w:highlight w:val="none"/>
          <w:lang w:val="zh-CN"/>
        </w:rPr>
        <w:t>本项目</w:t>
      </w:r>
      <w:r>
        <w:rPr>
          <w:rFonts w:hint="eastAsia" w:ascii="宋体" w:hAnsi="宋体" w:eastAsia="宋体" w:cs="宋体"/>
          <w:w w:val="100"/>
          <w:kern w:val="24"/>
          <w:sz w:val="28"/>
          <w:szCs w:val="28"/>
          <w:highlight w:val="none"/>
          <w:lang w:val="en-US" w:eastAsia="zh-CN"/>
        </w:rPr>
        <w:t>采用固定</w:t>
      </w:r>
      <w:r>
        <w:rPr>
          <w:rFonts w:hint="eastAsia" w:ascii="宋体" w:hAnsi="宋体" w:cs="宋体"/>
          <w:w w:val="100"/>
          <w:kern w:val="24"/>
          <w:sz w:val="28"/>
          <w:szCs w:val="28"/>
          <w:highlight w:val="none"/>
          <w:lang w:val="en-US" w:eastAsia="zh-CN"/>
        </w:rPr>
        <w:t>单</w:t>
      </w:r>
      <w:r>
        <w:rPr>
          <w:rFonts w:hint="eastAsia" w:ascii="宋体" w:hAnsi="宋体" w:eastAsia="宋体" w:cs="宋体"/>
          <w:w w:val="100"/>
          <w:kern w:val="24"/>
          <w:sz w:val="28"/>
          <w:szCs w:val="28"/>
          <w:highlight w:val="none"/>
          <w:lang w:val="en-US" w:eastAsia="zh-CN"/>
        </w:rPr>
        <w:t>价包干，</w:t>
      </w:r>
      <w:r>
        <w:rPr>
          <w:rFonts w:hint="eastAsia" w:ascii="宋体" w:hAnsi="宋体" w:cs="宋体"/>
          <w:w w:val="100"/>
          <w:kern w:val="24"/>
          <w:sz w:val="28"/>
          <w:szCs w:val="28"/>
          <w:highlight w:val="none"/>
          <w:lang w:val="en-US" w:eastAsia="zh-CN"/>
        </w:rPr>
        <w:t>单年</w:t>
      </w:r>
      <w:r>
        <w:rPr>
          <w:rFonts w:hint="eastAsia" w:ascii="宋体" w:hAnsi="宋体" w:eastAsia="宋体" w:cs="宋体"/>
          <w:w w:val="100"/>
          <w:kern w:val="24"/>
          <w:sz w:val="28"/>
          <w:szCs w:val="28"/>
          <w:highlight w:val="none"/>
        </w:rPr>
        <w:t>含税</w:t>
      </w:r>
      <w:r>
        <w:rPr>
          <w:rFonts w:hint="eastAsia" w:ascii="宋体" w:hAnsi="宋体" w:eastAsia="宋体" w:cs="宋体"/>
          <w:w w:val="100"/>
          <w:kern w:val="24"/>
          <w:sz w:val="28"/>
          <w:szCs w:val="28"/>
          <w:highlight w:val="none"/>
          <w:lang w:eastAsia="zh-CN"/>
        </w:rPr>
        <w:t>最高限价总价</w:t>
      </w:r>
      <w:r>
        <w:rPr>
          <w:rFonts w:hint="eastAsia" w:ascii="宋体" w:hAnsi="宋体" w:cs="宋体"/>
          <w:i w:val="0"/>
          <w:iCs w:val="0"/>
          <w:w w:val="100"/>
          <w:kern w:val="24"/>
          <w:sz w:val="28"/>
          <w:szCs w:val="28"/>
          <w:highlight w:val="none"/>
          <w:u w:val="none"/>
          <w:lang w:val="en-US" w:eastAsia="zh-CN" w:bidi="ar"/>
        </w:rPr>
        <w:t>7</w:t>
      </w:r>
      <w:r>
        <w:rPr>
          <w:rFonts w:hint="eastAsia" w:ascii="宋体" w:hAnsi="宋体" w:eastAsia="宋体" w:cs="宋体"/>
          <w:i w:val="0"/>
          <w:iCs w:val="0"/>
          <w:w w:val="100"/>
          <w:kern w:val="24"/>
          <w:sz w:val="28"/>
          <w:szCs w:val="28"/>
          <w:highlight w:val="none"/>
          <w:u w:val="none"/>
          <w:lang w:val="en-US" w:eastAsia="zh-CN" w:bidi="ar"/>
        </w:rPr>
        <w:t>万</w:t>
      </w:r>
      <w:r>
        <w:rPr>
          <w:rFonts w:hint="eastAsia" w:ascii="宋体" w:hAnsi="宋体" w:eastAsia="宋体" w:cs="宋体"/>
          <w:w w:val="100"/>
          <w:kern w:val="24"/>
          <w:sz w:val="28"/>
          <w:szCs w:val="28"/>
          <w:highlight w:val="none"/>
          <w:lang w:val="en-US" w:eastAsia="zh-CN"/>
        </w:rPr>
        <w:t>元</w:t>
      </w:r>
      <w:r>
        <w:rPr>
          <w:rFonts w:hint="eastAsia" w:ascii="宋体" w:hAnsi="宋体" w:eastAsia="宋体" w:cs="宋体"/>
          <w:kern w:val="24"/>
          <w:sz w:val="28"/>
          <w:szCs w:val="28"/>
          <w:highlight w:val="none"/>
        </w:rPr>
        <w:t>，</w:t>
      </w:r>
      <w:r>
        <w:rPr>
          <w:rFonts w:hint="eastAsia" w:ascii="宋体" w:hAnsi="宋体" w:cs="宋体"/>
          <w:kern w:val="24"/>
          <w:sz w:val="28"/>
          <w:szCs w:val="28"/>
          <w:highlight w:val="none"/>
          <w:lang w:val="en-US" w:eastAsia="zh-CN"/>
        </w:rPr>
        <w:t>三年</w:t>
      </w:r>
      <w:r>
        <w:rPr>
          <w:rFonts w:hint="eastAsia" w:ascii="宋体" w:hAnsi="宋体" w:eastAsia="宋体" w:cs="宋体"/>
          <w:w w:val="100"/>
          <w:kern w:val="24"/>
          <w:sz w:val="28"/>
          <w:szCs w:val="28"/>
          <w:highlight w:val="none"/>
        </w:rPr>
        <w:t>含税</w:t>
      </w:r>
      <w:r>
        <w:rPr>
          <w:rFonts w:hint="eastAsia" w:ascii="宋体" w:hAnsi="宋体" w:eastAsia="宋体" w:cs="宋体"/>
          <w:w w:val="100"/>
          <w:kern w:val="24"/>
          <w:sz w:val="28"/>
          <w:szCs w:val="28"/>
          <w:highlight w:val="none"/>
          <w:lang w:eastAsia="zh-CN"/>
        </w:rPr>
        <w:t>最高限价总价</w:t>
      </w:r>
      <w:r>
        <w:rPr>
          <w:rFonts w:hint="eastAsia" w:ascii="宋体" w:hAnsi="宋体" w:cs="宋体"/>
          <w:i w:val="0"/>
          <w:iCs w:val="0"/>
          <w:w w:val="100"/>
          <w:kern w:val="24"/>
          <w:sz w:val="28"/>
          <w:szCs w:val="28"/>
          <w:highlight w:val="none"/>
          <w:u w:val="none"/>
          <w:lang w:val="en-US" w:eastAsia="zh-CN" w:bidi="ar"/>
        </w:rPr>
        <w:t>21</w:t>
      </w:r>
      <w:r>
        <w:rPr>
          <w:rFonts w:hint="eastAsia" w:ascii="宋体" w:hAnsi="宋体" w:eastAsia="宋体" w:cs="宋体"/>
          <w:i w:val="0"/>
          <w:iCs w:val="0"/>
          <w:w w:val="100"/>
          <w:kern w:val="24"/>
          <w:sz w:val="28"/>
          <w:szCs w:val="28"/>
          <w:highlight w:val="none"/>
          <w:u w:val="none"/>
          <w:lang w:val="en-US" w:eastAsia="zh-CN" w:bidi="ar"/>
        </w:rPr>
        <w:t>万</w:t>
      </w:r>
      <w:r>
        <w:rPr>
          <w:rFonts w:hint="eastAsia" w:ascii="宋体" w:hAnsi="宋体" w:eastAsia="宋体" w:cs="宋体"/>
          <w:w w:val="100"/>
          <w:kern w:val="24"/>
          <w:sz w:val="28"/>
          <w:szCs w:val="28"/>
          <w:highlight w:val="none"/>
          <w:lang w:val="en-US" w:eastAsia="zh-CN"/>
        </w:rPr>
        <w:t>元</w:t>
      </w:r>
      <w:r>
        <w:rPr>
          <w:rFonts w:hint="eastAsia" w:ascii="宋体" w:hAnsi="宋体" w:cs="宋体"/>
          <w:w w:val="100"/>
          <w:kern w:val="24"/>
          <w:sz w:val="28"/>
          <w:szCs w:val="28"/>
          <w:highlight w:val="none"/>
          <w:lang w:val="en-US" w:eastAsia="zh"/>
        </w:rPr>
        <w:t>，</w:t>
      </w:r>
      <w:r>
        <w:rPr>
          <w:rFonts w:hint="eastAsia" w:ascii="宋体" w:hAnsi="宋体" w:eastAsia="宋体" w:cs="宋体"/>
          <w:color w:val="auto"/>
          <w:kern w:val="24"/>
          <w:sz w:val="28"/>
          <w:szCs w:val="28"/>
          <w:highlight w:val="none"/>
          <w:lang w:val="en-US" w:eastAsia="zh-CN"/>
        </w:rPr>
        <w:t>合计</w:t>
      </w:r>
      <w:r>
        <w:rPr>
          <w:rFonts w:hint="eastAsia" w:ascii="宋体" w:hAnsi="宋体" w:eastAsia="宋体" w:cs="宋体"/>
          <w:color w:val="auto"/>
          <w:kern w:val="24"/>
          <w:sz w:val="28"/>
          <w:szCs w:val="28"/>
          <w:highlight w:val="none"/>
          <w:lang w:val="en-US"/>
        </w:rPr>
        <w:t>报价或任意单项报价高于最高限价的为无效报价</w:t>
      </w:r>
      <w:r>
        <w:rPr>
          <w:rFonts w:hint="eastAsia" w:ascii="宋体" w:hAnsi="宋体" w:cs="宋体"/>
          <w:kern w:val="24"/>
          <w:sz w:val="28"/>
          <w:szCs w:val="28"/>
          <w:highlight w:val="none"/>
        </w:rPr>
        <w:t>。</w:t>
      </w:r>
    </w:p>
    <w:p>
      <w:pPr>
        <w:numPr>
          <w:ilvl w:val="0"/>
          <w:numId w:val="0"/>
        </w:numPr>
        <w:spacing w:line="580" w:lineRule="exact"/>
        <w:rPr>
          <w:rFonts w:hint="eastAsia"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lang w:eastAsia="zh-CN"/>
        </w:rPr>
        <w:t>比选</w:t>
      </w:r>
      <w:r>
        <w:rPr>
          <w:rFonts w:hint="eastAsia" w:ascii="宋体" w:hAnsi="宋体" w:cs="宋体"/>
          <w:b/>
          <w:sz w:val="28"/>
          <w:szCs w:val="28"/>
        </w:rPr>
        <w:t>响应人资格要求</w:t>
      </w:r>
    </w:p>
    <w:p>
      <w:pPr>
        <w:pageBreakBefore w:val="0"/>
        <w:numPr>
          <w:ilvl w:val="0"/>
          <w:numId w:val="1"/>
        </w:numPr>
        <w:kinsoku/>
        <w:wordWrap/>
        <w:overflowPunct/>
        <w:topLinePunct w:val="0"/>
        <w:bidi w:val="0"/>
        <w:spacing w:line="580" w:lineRule="exact"/>
        <w:ind w:left="0" w:leftChars="0" w:firstLine="560" w:firstLineChars="200"/>
        <w:rPr>
          <w:rFonts w:hint="eastAsia" w:ascii="宋体" w:hAnsi="宋体" w:eastAsia="宋体" w:cs="宋体"/>
          <w:sz w:val="28"/>
          <w:szCs w:val="28"/>
        </w:rPr>
      </w:pPr>
      <w:bookmarkStart w:id="2" w:name="OLE_LINK4"/>
      <w:r>
        <w:rPr>
          <w:rFonts w:hint="eastAsia" w:ascii="宋体" w:hAnsi="宋体" w:cs="宋体"/>
          <w:sz w:val="28"/>
          <w:szCs w:val="28"/>
        </w:rPr>
        <w:t>具有独立法人资格</w:t>
      </w:r>
      <w:r>
        <w:rPr>
          <w:rFonts w:hint="eastAsia" w:ascii="宋体" w:hAnsi="宋体" w:eastAsia="宋体" w:cs="宋体"/>
          <w:color w:val="000000"/>
          <w:sz w:val="28"/>
          <w:szCs w:val="28"/>
          <w:highlight w:val="none"/>
          <w:lang w:eastAsia="zh-CN"/>
        </w:rPr>
        <w:t>（需提供营业执照复印</w:t>
      </w:r>
      <w:r>
        <w:rPr>
          <w:rFonts w:hint="eastAsia" w:ascii="宋体" w:hAnsi="宋体" w:eastAsia="宋体" w:cs="宋体"/>
          <w:color w:val="auto"/>
          <w:sz w:val="28"/>
          <w:szCs w:val="28"/>
          <w:highlight w:val="none"/>
          <w:lang w:eastAsia="zh-CN"/>
        </w:rPr>
        <w:t>件或扫描件作为证明文件）</w:t>
      </w:r>
      <w:bookmarkEnd w:id="2"/>
      <w:r>
        <w:rPr>
          <w:rFonts w:hint="eastAsia" w:ascii="宋体" w:hAnsi="宋体" w:eastAsia="宋体" w:cs="宋体"/>
          <w:color w:val="auto"/>
          <w:sz w:val="28"/>
          <w:szCs w:val="28"/>
          <w:highlight w:val="none"/>
          <w:lang w:eastAsia="zh"/>
        </w:rPr>
        <w:t>。</w:t>
      </w:r>
    </w:p>
    <w:p>
      <w:pPr>
        <w:numPr>
          <w:ilvl w:val="0"/>
          <w:numId w:val="1"/>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具有放射卫生技术服务机构资质证书（需提供相应证明材料复印件或扫描件）。</w:t>
      </w:r>
    </w:p>
    <w:p>
      <w:pPr>
        <w:tabs>
          <w:tab w:val="left" w:pos="7740"/>
        </w:tabs>
        <w:spacing w:line="360" w:lineRule="auto"/>
        <w:ind w:firstLine="560" w:firstLineChars="200"/>
        <w:rPr>
          <w:rFonts w:hint="eastAsia" w:ascii="宋体" w:hAnsi="宋体" w:cs="宋体"/>
          <w:sz w:val="28"/>
          <w:szCs w:val="28"/>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w:t>
      </w:r>
      <w:bookmarkStart w:id="3" w:name="OLE_LINK5"/>
      <w:r>
        <w:rPr>
          <w:rFonts w:hint="eastAsia" w:ascii="宋体" w:hAnsi="宋体" w:cs="宋体"/>
          <w:sz w:val="28"/>
          <w:szCs w:val="28"/>
        </w:rPr>
        <w:t>具有良好的社会信誉和履行合同的能力，近3年无违法违纪、服务违约行为、重大质量问题等不良记录，没有处于被责令停业、或财产被接管、冻结、破产状态（需提供信用中国截图</w:t>
      </w:r>
      <w:r>
        <w:rPr>
          <w:rFonts w:hint="eastAsia" w:ascii="宋体" w:hAnsi="宋体" w:cs="宋体"/>
          <w:sz w:val="28"/>
          <w:szCs w:val="28"/>
          <w:lang w:val="en-US" w:eastAsia="zh-CN"/>
        </w:rPr>
        <w:t>或承诺书</w:t>
      </w:r>
      <w:r>
        <w:rPr>
          <w:rFonts w:hint="eastAsia" w:ascii="宋体" w:hAnsi="宋体" w:cs="宋体"/>
          <w:sz w:val="28"/>
          <w:szCs w:val="28"/>
        </w:rPr>
        <w:t>）</w:t>
      </w:r>
      <w:bookmarkEnd w:id="3"/>
      <w:r>
        <w:rPr>
          <w:rFonts w:hint="eastAsia" w:ascii="宋体" w:hAnsi="宋体" w:cs="宋体"/>
          <w:sz w:val="28"/>
          <w:szCs w:val="28"/>
        </w:rPr>
        <w:t>。</w:t>
      </w:r>
    </w:p>
    <w:p>
      <w:pPr>
        <w:pStyle w:val="4"/>
        <w:numPr>
          <w:ilvl w:val="0"/>
          <w:numId w:val="0"/>
        </w:numPr>
        <w:spacing w:line="579" w:lineRule="exact"/>
        <w:ind w:firstLine="560" w:firstLineChars="200"/>
        <w:rPr>
          <w:rFonts w:hint="eastAsia"/>
        </w:rPr>
      </w:pPr>
      <w:bookmarkStart w:id="4" w:name="OLE_LINK9"/>
      <w:r>
        <w:rPr>
          <w:rFonts w:hint="eastAsia" w:ascii="宋体" w:hAnsi="宋体" w:eastAsia="宋体" w:cs="宋体"/>
          <w:bCs w:val="0"/>
          <w:kern w:val="2"/>
          <w:sz w:val="28"/>
          <w:szCs w:val="28"/>
          <w:lang w:val="en-US" w:eastAsia="zh-CN" w:bidi="ar"/>
        </w:rPr>
        <w:t>（四）具有良好的商业信誉和健全的财务会计制度（需提供承诺书）</w:t>
      </w:r>
      <w:bookmarkEnd w:id="4"/>
      <w:r>
        <w:rPr>
          <w:rFonts w:hint="eastAsia" w:ascii="宋体" w:hAnsi="宋体" w:cs="宋体"/>
          <w:bCs w:val="0"/>
          <w:kern w:val="2"/>
          <w:sz w:val="28"/>
          <w:szCs w:val="28"/>
          <w:lang w:val="en-US" w:eastAsia="zh" w:bidi="ar"/>
        </w:rPr>
        <w:t>。</w:t>
      </w:r>
    </w:p>
    <w:p>
      <w:pPr>
        <w:spacing w:line="360" w:lineRule="auto"/>
        <w:rPr>
          <w:rFonts w:hint="eastAsia" w:ascii="宋体" w:hAnsi="宋体" w:cs="宋体"/>
          <w:b/>
          <w:bCs/>
          <w:sz w:val="28"/>
          <w:szCs w:val="28"/>
        </w:rPr>
      </w:pPr>
      <w:r>
        <w:rPr>
          <w:rFonts w:hint="eastAsia" w:ascii="宋体" w:hAnsi="宋体" w:cs="宋体"/>
          <w:b/>
          <w:bCs/>
          <w:sz w:val="28"/>
          <w:szCs w:val="28"/>
        </w:rPr>
        <w:t>注：</w:t>
      </w:r>
      <w:r>
        <w:rPr>
          <w:rFonts w:hint="eastAsia" w:ascii="宋体" w:hAnsi="宋体" w:eastAsia="宋体" w:cs="宋体"/>
          <w:b/>
          <w:bCs/>
          <w:color w:val="auto"/>
          <w:sz w:val="28"/>
          <w:szCs w:val="28"/>
          <w:highlight w:val="none"/>
          <w:lang w:eastAsia="zh-CN"/>
        </w:rPr>
        <w:t>凡复印件或扫描件均须加盖鲜章</w:t>
      </w:r>
      <w:r>
        <w:rPr>
          <w:rFonts w:hint="eastAsia" w:ascii="宋体" w:hAnsi="宋体" w:cs="宋体"/>
          <w:b/>
          <w:bCs/>
          <w:sz w:val="28"/>
          <w:szCs w:val="28"/>
        </w:rPr>
        <w:t>。</w:t>
      </w:r>
    </w:p>
    <w:p>
      <w:pPr>
        <w:numPr>
          <w:ilvl w:val="0"/>
          <w:numId w:val="0"/>
        </w:numPr>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lang w:val="zh-CN"/>
        </w:rPr>
        <w:t>购买采购文件的时间、地点及售价</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14</w:t>
      </w:r>
      <w:r>
        <w:rPr>
          <w:rFonts w:hint="eastAsia" w:ascii="宋体" w:hAnsi="宋体" w:eastAsia="宋体" w:cs="宋体"/>
          <w:color w:val="auto"/>
          <w:sz w:val="28"/>
          <w:szCs w:val="28"/>
          <w:highlight w:val="none"/>
          <w:lang w:val="zh-CN"/>
        </w:rPr>
        <w:t>日09时00分至</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18</w:t>
      </w:r>
      <w:r>
        <w:rPr>
          <w:rFonts w:hint="eastAsia" w:ascii="宋体" w:hAnsi="宋体" w:eastAsia="宋体" w:cs="宋体"/>
          <w:color w:val="auto"/>
          <w:sz w:val="28"/>
          <w:szCs w:val="28"/>
          <w:highlight w:val="none"/>
          <w:lang w:val="zh-CN"/>
        </w:rPr>
        <w:t>日17时00分（北京时间）。</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（2）若投标人首次为登陆四川能源天府阳光采购服务平台，需先进行免费注册（平台首页左上角），注册为供应商，并按平台要求完善注册信息，未注册或系统使用有问题的供应商将无法参与本项目。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文件及其他招标资料电子版。</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w:t>
      </w:r>
      <w:r>
        <w:rPr>
          <w:rFonts w:hint="eastAsia" w:ascii="宋体" w:hAnsi="宋体" w:eastAsia="宋体" w:cs="宋体"/>
          <w:b/>
          <w:bCs/>
          <w:color w:val="auto"/>
          <w:sz w:val="28"/>
          <w:szCs w:val="28"/>
          <w:highlight w:val="none"/>
          <w:lang w:val="zh-CN"/>
        </w:rPr>
        <w:t>需在响应文件递交截止时间前进行报名</w:t>
      </w:r>
      <w:r>
        <w:rPr>
          <w:rFonts w:hint="eastAsia" w:ascii="宋体" w:hAnsi="宋体" w:eastAsia="宋体" w:cs="宋体"/>
          <w:color w:val="auto"/>
          <w:sz w:val="28"/>
          <w:szCs w:val="28"/>
          <w:highlight w:val="none"/>
          <w:lang w:val="zh-CN"/>
        </w:rPr>
        <w:t>。报名时须提供以下资料并发送至TZB0834@126.com。</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w:t>
      </w:r>
      <w:r>
        <w:rPr>
          <w:rFonts w:hint="eastAsia" w:ascii="宋体" w:hAnsi="宋体" w:eastAsia="宋体" w:cs="宋体"/>
          <w:b/>
          <w:bCs/>
          <w:color w:val="auto"/>
          <w:sz w:val="28"/>
          <w:szCs w:val="28"/>
          <w:highlight w:val="none"/>
          <w:lang w:val="zh-CN"/>
        </w:rPr>
        <w:t>未按上述要求获取文件及报名的，递交的响应文件将不予接收。</w:t>
      </w:r>
    </w:p>
    <w:p>
      <w:pPr>
        <w:numPr>
          <w:ilvl w:val="0"/>
          <w:numId w:val="0"/>
        </w:numPr>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w:t>
      </w:r>
      <w:r>
        <w:rPr>
          <w:rFonts w:hint="eastAsia" w:ascii="宋体" w:hAnsi="宋体" w:eastAsia="宋体" w:cs="宋体"/>
          <w:b/>
          <w:bCs/>
          <w:color w:val="auto"/>
          <w:sz w:val="28"/>
          <w:szCs w:val="28"/>
          <w:highlight w:val="none"/>
          <w:lang w:val="zh-CN" w:eastAsia="zh"/>
        </w:rPr>
        <w:t>响应</w:t>
      </w:r>
      <w:r>
        <w:rPr>
          <w:rFonts w:hint="eastAsia" w:ascii="宋体" w:hAnsi="宋体" w:eastAsia="宋体" w:cs="宋体"/>
          <w:b/>
          <w:bCs/>
          <w:color w:val="auto"/>
          <w:sz w:val="28"/>
          <w:szCs w:val="28"/>
          <w:highlight w:val="none"/>
          <w:lang w:val="zh-CN"/>
        </w:rPr>
        <w:t>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eastAsia="zh"/>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r>
        <w:rPr>
          <w:rFonts w:hint="eastAsia" w:ascii="宋体" w:hAnsi="宋体" w:eastAsia="宋体" w:cs="宋体"/>
          <w:color w:val="auto"/>
          <w:sz w:val="28"/>
          <w:szCs w:val="28"/>
          <w:highlight w:val="none"/>
          <w:lang w:val="zh-CN" w:eastAsia="zh"/>
        </w:rPr>
        <w:t>，建议响应人提前10分钟到达现场。</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56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lang w:val="zh-CN"/>
        </w:rPr>
        <w:t>时间及地点</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zh-CN"/>
        </w:rPr>
        <w:t>年</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月</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lang w:val="zh-CN"/>
        </w:rPr>
        <w:t>日</w:t>
      </w:r>
      <w:r>
        <w:rPr>
          <w:rFonts w:hint="eastAsia" w:ascii="宋体" w:hAnsi="宋体" w:cs="宋体"/>
          <w:color w:val="auto"/>
          <w:sz w:val="28"/>
          <w:szCs w:val="28"/>
          <w:highlight w:val="none"/>
          <w:lang w:val="en-US" w:eastAsia="zh-CN"/>
        </w:rPr>
        <w:t>下</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56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西昌市朝阳东路1号川投西昌医院五楼会</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议室。</w:t>
      </w:r>
    </w:p>
    <w:p>
      <w:pPr>
        <w:numPr>
          <w:ilvl w:val="0"/>
          <w:numId w:val="0"/>
        </w:numPr>
        <w:spacing w:line="560" w:lineRule="exact"/>
        <w:ind w:firstLine="0"/>
        <w:rPr>
          <w:rFonts w:hint="default" w:ascii="宋体" w:hAnsi="宋体" w:eastAsia="宋体" w:cs="宋体"/>
          <w:b/>
          <w:bCs/>
          <w:color w:val="auto"/>
          <w:sz w:val="28"/>
          <w:szCs w:val="28"/>
          <w:highlight w:val="none"/>
          <w:lang w:val="en-US"/>
        </w:rPr>
      </w:pPr>
      <w:bookmarkStart w:id="5" w:name="PO_默认文件内容_46"/>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5"/>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560" w:lineRule="exact"/>
        <w:ind w:left="0" w:leftChars="0" w:firstLine="0" w:firstLineChars="0"/>
        <w:rPr>
          <w:rStyle w:val="12"/>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http://www.cebpubservice.com/）</w:t>
      </w:r>
      <w:r>
        <w:rPr>
          <w:rStyle w:val="12"/>
          <w:rFonts w:hint="eastAsia" w:ascii="宋体" w:hAnsi="宋体" w:eastAsia="宋体" w:cs="宋体"/>
          <w:bCs w:val="0"/>
          <w:color w:val="auto"/>
          <w:sz w:val="28"/>
          <w:szCs w:val="28"/>
          <w:highlight w:val="none"/>
          <w:lang w:val="zh-CN"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rPr>
      </w:pPr>
      <w:r>
        <w:rPr>
          <w:rStyle w:val="12"/>
          <w:rFonts w:hint="eastAsia" w:ascii="宋体" w:hAnsi="宋体" w:eastAsia="宋体" w:cs="宋体"/>
          <w:bCs w:val="0"/>
          <w:color w:val="auto"/>
          <w:sz w:val="28"/>
          <w:szCs w:val="28"/>
          <w:highlight w:val="none"/>
          <w:u w:val="none"/>
          <w:lang w:val="zh-CN"/>
        </w:rPr>
        <w:t>四川能源天府阳光采购服务平台</w:t>
      </w:r>
      <w:r>
        <w:rPr>
          <w:rStyle w:val="12"/>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2"/>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rPr>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川投西昌医院（http://www.ctxcyy.cn）网站上以公告形式发布</w:t>
      </w:r>
      <w:r>
        <w:rPr>
          <w:rFonts w:hint="eastAsia" w:ascii="宋体" w:hAnsi="宋体" w:eastAsia="宋体" w:cs="宋体"/>
          <w:bCs w:val="0"/>
          <w:color w:val="auto"/>
          <w:sz w:val="28"/>
          <w:szCs w:val="28"/>
          <w:highlight w:val="none"/>
          <w:lang w:val="zh-CN" w:eastAsia="zh-CN"/>
        </w:rPr>
        <w:t>。</w:t>
      </w:r>
    </w:p>
    <w:p>
      <w:pPr>
        <w:keepNext w:val="0"/>
        <w:keepLines w:val="0"/>
        <w:widowControl w:val="0"/>
        <w:suppressLineNumbers w:val="0"/>
        <w:spacing w:before="0" w:beforeAutospacing="0" w:after="0" w:afterAutospacing="0" w:line="550" w:lineRule="exact"/>
        <w:ind w:left="0" w:right="0"/>
        <w:jc w:val="left"/>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十、联系方式</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比 选 人：西昌川投大健康科技有限公司</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地    址：西昌市朝阳东路 1 号川投西昌医院</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联 系 人：</w:t>
      </w:r>
      <w:r>
        <w:rPr>
          <w:rFonts w:hint="eastAsia" w:ascii="宋体" w:hAnsi="宋体" w:cs="宋体"/>
          <w:bCs w:val="0"/>
          <w:color w:val="auto"/>
          <w:kern w:val="2"/>
          <w:sz w:val="28"/>
          <w:szCs w:val="28"/>
          <w:highlight w:val="none"/>
          <w:u w:val="none"/>
          <w:lang w:val="zh-CN" w:eastAsia="zh-CN" w:bidi="ar"/>
        </w:rPr>
        <w:t>杨</w:t>
      </w:r>
      <w:r>
        <w:rPr>
          <w:rFonts w:hint="eastAsia" w:ascii="宋体" w:hAnsi="宋体" w:eastAsia="宋体" w:cs="宋体"/>
          <w:bCs w:val="0"/>
          <w:color w:val="auto"/>
          <w:kern w:val="2"/>
          <w:sz w:val="28"/>
          <w:szCs w:val="28"/>
          <w:highlight w:val="none"/>
          <w:u w:val="none"/>
          <w:lang w:val="zh-CN" w:eastAsia="zh-CN" w:bidi="ar"/>
        </w:rPr>
        <w:t>老师</w:t>
      </w:r>
    </w:p>
    <w:p>
      <w:pPr>
        <w:keepNext w:val="0"/>
        <w:keepLines w:val="0"/>
        <w:widowControl/>
        <w:suppressLineNumbers w:val="0"/>
        <w:kinsoku w:val="0"/>
        <w:autoSpaceDE w:val="0"/>
        <w:autoSpaceDN w:val="0"/>
        <w:adjustRightInd w:val="0"/>
        <w:snapToGrid w:val="0"/>
        <w:spacing w:before="0" w:beforeAutospacing="0" w:after="0" w:afterAutospacing="0" w:line="560" w:lineRule="exact"/>
        <w:ind w:left="0" w:leftChars="0" w:right="0" w:firstLine="560" w:firstLineChars="200"/>
        <w:jc w:val="left"/>
        <w:rPr>
          <w:rFonts w:hint="eastAsia" w:ascii="宋体" w:hAnsi="宋体" w:eastAsia="宋体" w:cs="宋体"/>
          <w:bCs w:val="0"/>
          <w:color w:val="auto"/>
          <w:kern w:val="2"/>
          <w:sz w:val="28"/>
          <w:szCs w:val="28"/>
          <w:highlight w:val="none"/>
          <w:lang w:val="zh-CN"/>
        </w:rPr>
      </w:pPr>
      <w:r>
        <w:rPr>
          <w:rFonts w:hint="eastAsia" w:ascii="宋体" w:hAnsi="宋体" w:eastAsia="宋体" w:cs="宋体"/>
          <w:bCs w:val="0"/>
          <w:color w:val="auto"/>
          <w:kern w:val="2"/>
          <w:sz w:val="28"/>
          <w:szCs w:val="28"/>
          <w:highlight w:val="none"/>
          <w:u w:val="none"/>
          <w:lang w:val="zh-CN" w:eastAsia="zh-CN" w:bidi="ar"/>
        </w:rPr>
        <w:t>电    话：0834-6999550</w:t>
      </w:r>
    </w:p>
    <w:p>
      <w:pPr>
        <w:keepNext w:val="0"/>
        <w:keepLines w:val="0"/>
        <w:pageBreakBefore w:val="0"/>
        <w:widowControl w:val="0"/>
        <w:kinsoku/>
        <w:wordWrap w:val="0"/>
        <w:overflowPunct w:val="0"/>
        <w:topLinePunct w:val="0"/>
        <w:autoSpaceDE/>
        <w:autoSpaceDN/>
        <w:bidi w:val="0"/>
        <w:adjustRightInd/>
        <w:snapToGrid w:val="0"/>
        <w:spacing w:line="600" w:lineRule="exact"/>
        <w:ind w:firstLine="420" w:firstLineChars="200"/>
        <w:jc w:val="left"/>
        <w:textAlignment w:val="auto"/>
      </w:pPr>
      <w:bookmarkStart w:id="6" w:name="_GoBack"/>
      <w:bookmarkEnd w:id="6"/>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320"/>
        <w:tab w:val="clear" w:pos="864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clear" w:pos="4320"/>
                              <w:tab w:val="clear" w:pos="8640"/>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tabs>
                        <w:tab w:val="clear" w:pos="4320"/>
                        <w:tab w:val="clear" w:pos="8640"/>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2D484"/>
    <w:multiLevelType w:val="singleLevel"/>
    <w:tmpl w:val="BB72D4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A1B2077"/>
    <w:rsid w:val="25A634D3"/>
    <w:rsid w:val="287D1805"/>
    <w:rsid w:val="313F5CD8"/>
    <w:rsid w:val="32DA34FB"/>
    <w:rsid w:val="3B83700D"/>
    <w:rsid w:val="40052A92"/>
    <w:rsid w:val="49935043"/>
    <w:rsid w:val="4ABA265F"/>
    <w:rsid w:val="4B8200F7"/>
    <w:rsid w:val="4BA000EC"/>
    <w:rsid w:val="4DF61D74"/>
    <w:rsid w:val="4FF572BC"/>
    <w:rsid w:val="535F18EA"/>
    <w:rsid w:val="576779CA"/>
    <w:rsid w:val="5D820C77"/>
    <w:rsid w:val="606C4A0B"/>
    <w:rsid w:val="672B1A53"/>
    <w:rsid w:val="69EF77F6"/>
    <w:rsid w:val="6A202D2A"/>
    <w:rsid w:val="6B626839"/>
    <w:rsid w:val="77F60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szCs w:val="24"/>
    </w:rPr>
  </w:style>
  <w:style w:type="paragraph" w:styleId="5">
    <w:name w:val="Body Text Indent"/>
    <w:basedOn w:val="1"/>
    <w:unhideWhenUsed/>
    <w:qFormat/>
    <w:uiPriority w:val="99"/>
    <w:pPr>
      <w:spacing w:after="120"/>
      <w:ind w:left="420" w:leftChars="200"/>
    </w:pPr>
    <w:rPr>
      <w:szCs w:val="20"/>
    </w:rPr>
  </w:style>
  <w:style w:type="paragraph" w:styleId="6">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7">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8">
    <w:name w:val="Body Text First Indent 2"/>
    <w:basedOn w:val="5"/>
    <w:unhideWhenUsed/>
    <w:qFormat/>
    <w:uiPriority w:val="99"/>
    <w:pPr>
      <w:ind w:firstLine="420" w:firstLineChars="200"/>
    </w:pPr>
  </w:style>
  <w:style w:type="character" w:styleId="11">
    <w:name w:val="Strong"/>
    <w:qFormat/>
    <w:uiPriority w:val="0"/>
    <w:rPr>
      <w:b/>
    </w:rPr>
  </w:style>
  <w:style w:type="character" w:styleId="12">
    <w:name w:val="Hyperlink"/>
    <w:unhideWhenUsed/>
    <w:qFormat/>
    <w:uiPriority w:val="99"/>
    <w:rPr>
      <w:color w:val="0000FF"/>
      <w:u w:val="single"/>
    </w:rPr>
  </w:style>
  <w:style w:type="paragraph" w:customStyle="1" w:styleId="13">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4">
    <w:name w:val="null3"/>
    <w:basedOn w:val="1"/>
    <w:qFormat/>
    <w:uiPriority w:val="0"/>
    <w:pPr>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 w:type="paragraph" w:customStyle="1" w:styleId="15">
    <w:name w:val="Body text|1"/>
    <w:basedOn w:val="1"/>
    <w:qFormat/>
    <w:uiPriority w:val="0"/>
    <w:pPr>
      <w:spacing w:line="480" w:lineRule="auto"/>
      <w:ind w:firstLine="400"/>
      <w:jc w:val="left"/>
    </w:pPr>
    <w:rPr>
      <w:rFonts w:ascii="宋体" w:hAnsi="宋体" w:eastAsia="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2026-03-13T02:09:17Z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