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rPr>
      </w:pPr>
      <w:bookmarkStart w:id="0" w:name="OLE_LINK1"/>
      <w:bookmarkStart w:id="1" w:name="OLE_LINK5"/>
      <w:r>
        <w:rPr>
          <w:rFonts w:hint="eastAsia" w:ascii="Times New Roman" w:hAnsi="Times New Roman" w:eastAsia="宋体" w:cs="Times New Roman"/>
          <w:b/>
          <w:bCs/>
          <w:sz w:val="36"/>
          <w:szCs w:val="36"/>
        </w:rPr>
        <w:t>川投西昌医院共享充电宝合作单位选聘项目</w:t>
      </w:r>
    </w:p>
    <w:p>
      <w:pPr>
        <w:jc w:val="center"/>
        <w:rPr>
          <w:rFonts w:hint="eastAsia" w:ascii="Times New Roman" w:hAnsi="Times New Roman" w:eastAsia="宋体" w:cs="Times New Roman"/>
          <w:b/>
          <w:bCs/>
          <w:sz w:val="36"/>
          <w:szCs w:val="36"/>
        </w:rPr>
      </w:pPr>
      <w:bookmarkStart w:id="5" w:name="_GoBack"/>
      <w:bookmarkEnd w:id="5"/>
      <w:r>
        <w:rPr>
          <w:rFonts w:hint="eastAsia" w:ascii="Times New Roman" w:hAnsi="Times New Roman" w:eastAsia="宋体" w:cs="Times New Roman"/>
          <w:b/>
          <w:bCs/>
          <w:sz w:val="36"/>
          <w:szCs w:val="36"/>
        </w:rPr>
        <w:t>竞价采购公告</w:t>
      </w:r>
      <w:bookmarkEnd w:id="0"/>
      <w:bookmarkEnd w:id="1"/>
    </w:p>
    <w:p>
      <w:pPr>
        <w:tabs>
          <w:tab w:val="left" w:pos="1050"/>
          <w:tab w:val="center" w:pos="4563"/>
        </w:tabs>
        <w:spacing w:line="360" w:lineRule="auto"/>
        <w:jc w:val="left"/>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w:t>
      </w:r>
      <w:r>
        <w:rPr>
          <w:rFonts w:hint="eastAsia" w:ascii="Times New Roman" w:hAnsi="Times New Roman" w:eastAsia="宋体" w:cs="Times New Roman"/>
          <w:color w:val="auto"/>
          <w:sz w:val="24"/>
          <w:szCs w:val="24"/>
          <w:highlight w:val="none"/>
          <w:lang w:val="en-US" w:eastAsia="zh"/>
        </w:rPr>
        <w:t>四川能源医药健康产业集团有限责</w:t>
      </w:r>
      <w:r>
        <w:rPr>
          <w:rFonts w:hint="eastAsia" w:ascii="Times New Roman" w:hAnsi="Times New Roman" w:eastAsia="宋体" w:cs="Times New Roman"/>
          <w:color w:val="auto"/>
          <w:sz w:val="24"/>
          <w:szCs w:val="24"/>
          <w:highlight w:val="none"/>
          <w:lang w:val="en-US" w:eastAsia="zh-CN"/>
        </w:rPr>
        <w:t>任公司出资占比51%，西昌海河文旅投资发展有限公司出资占比49%，通过高起点、高标准建设运营川投西昌医院项目（包括健康养生中心、综合医院），全面发挥投资管理与资源禀赋有机结合的优势。</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医院按照国际JCI标准，拟建成集教学、培训、科研等为一体的多功能现代三级甲等综合医院。</w:t>
      </w:r>
    </w:p>
    <w:p>
      <w:pPr>
        <w:tabs>
          <w:tab w:val="left" w:pos="1050"/>
          <w:tab w:val="center" w:pos="4563"/>
        </w:tabs>
        <w:spacing w:line="360" w:lineRule="auto"/>
        <w:ind w:firstLine="424" w:firstLineChars="177"/>
        <w:jc w:val="left"/>
        <w:rPr>
          <w:rFonts w:hint="eastAsia" w:ascii="Times New Roman" w:hAnsi="Times New Roman" w:eastAsia="宋体" w:cs="Times New Roman"/>
          <w:sz w:val="24"/>
          <w:szCs w:val="24"/>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sz w:val="24"/>
          <w:szCs w:val="24"/>
          <w:lang w:val="en-US" w:eastAsia="zh-CN"/>
        </w:rPr>
        <w:t>拟对</w:t>
      </w:r>
      <w:bookmarkStart w:id="2" w:name="PO_默认文件内容_1"/>
      <w:r>
        <w:rPr>
          <w:rFonts w:hint="eastAsia" w:ascii="Times New Roman" w:hAnsi="Times New Roman" w:eastAsia="宋体" w:cs="Times New Roman"/>
          <w:sz w:val="24"/>
          <w:szCs w:val="24"/>
          <w:lang w:val="en-US" w:eastAsia="zh-CN"/>
        </w:rPr>
        <w:t>川投西昌医院共享充电宝合作单位选聘</w:t>
      </w:r>
      <w:r>
        <w:rPr>
          <w:rFonts w:hint="eastAsia" w:ascii="Times New Roman" w:hAnsi="Times New Roman" w:eastAsia="宋体" w:cs="Times New Roman"/>
          <w:b w:val="0"/>
          <w:bCs w:val="0"/>
          <w:sz w:val="24"/>
          <w:szCs w:val="24"/>
          <w:u w:val="none"/>
          <w:lang w:eastAsia="zh-CN"/>
        </w:rPr>
        <w:t>项目</w:t>
      </w:r>
      <w:r>
        <w:rPr>
          <w:rFonts w:hint="eastAsia" w:ascii="Times New Roman" w:hAnsi="Times New Roman" w:eastAsia="宋体" w:cs="Times New Roman"/>
          <w:sz w:val="24"/>
          <w:szCs w:val="24"/>
        </w:rPr>
        <w:t>采用</w:t>
      </w:r>
      <w:r>
        <w:rPr>
          <w:rFonts w:hint="eastAsia" w:ascii="Times New Roman" w:hAnsi="Times New Roman" w:eastAsia="宋体" w:cs="Times New Roman"/>
          <w:sz w:val="24"/>
          <w:szCs w:val="24"/>
          <w:lang w:eastAsia="zh-CN"/>
        </w:rPr>
        <w:t>竞价采购</w:t>
      </w:r>
      <w:r>
        <w:rPr>
          <w:rFonts w:hint="eastAsia" w:ascii="Times New Roman" w:hAnsi="Times New Roman" w:eastAsia="宋体" w:cs="Times New Roman"/>
          <w:sz w:val="24"/>
          <w:szCs w:val="24"/>
        </w:rPr>
        <w:t>方式进行采购，特邀请符合本次采购要求的供应商参加本项目的</w:t>
      </w:r>
      <w:bookmarkEnd w:id="2"/>
      <w:r>
        <w:rPr>
          <w:rFonts w:hint="eastAsia" w:ascii="Times New Roman" w:hAnsi="Times New Roman" w:eastAsia="宋体" w:cs="Times New Roman"/>
          <w:sz w:val="24"/>
          <w:szCs w:val="24"/>
          <w:lang w:eastAsia="zh-CN"/>
        </w:rPr>
        <w:t>竞价采购</w:t>
      </w:r>
      <w:r>
        <w:rPr>
          <w:rFonts w:hint="eastAsia" w:ascii="Times New Roman" w:hAnsi="Times New Roman" w:eastAsia="宋体" w:cs="Times New Roman"/>
          <w:sz w:val="24"/>
          <w:szCs w:val="24"/>
        </w:rPr>
        <w:t>。</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二</w:t>
      </w:r>
      <w:r>
        <w:rPr>
          <w:rFonts w:hint="eastAsia" w:ascii="Times New Roman" w:hAnsi="Times New Roman" w:eastAsia="宋体" w:cs="Times New Roman"/>
          <w:b/>
          <w:sz w:val="24"/>
          <w:szCs w:val="24"/>
        </w:rPr>
        <w:t>、采购内容：</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688"/>
        <w:gridCol w:w="2522"/>
        <w:gridCol w:w="737"/>
        <w:gridCol w:w="3874"/>
        <w:gridCol w:w="70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404"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ascii="Times New Roman" w:hAnsi="Times New Roman" w:eastAsia="宋体" w:cs="Times New Roman"/>
                <w:b/>
                <w:bCs/>
                <w:color w:val="000000"/>
                <w:sz w:val="24"/>
                <w:szCs w:val="20"/>
              </w:rPr>
              <w:t>序号</w:t>
            </w:r>
          </w:p>
        </w:tc>
        <w:tc>
          <w:tcPr>
            <w:tcW w:w="1479"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ascii="Times New Roman" w:hAnsi="Times New Roman" w:eastAsia="宋体" w:cs="Times New Roman"/>
                <w:b/>
                <w:bCs/>
                <w:color w:val="000000"/>
                <w:sz w:val="24"/>
                <w:szCs w:val="20"/>
                <w:lang w:val="en-US" w:eastAsia="zh-CN"/>
              </w:rPr>
            </w:pPr>
            <w:r>
              <w:rPr>
                <w:rFonts w:hint="eastAsia" w:ascii="Times New Roman" w:hAnsi="Times New Roman" w:eastAsia="宋体" w:cs="Times New Roman"/>
                <w:b/>
                <w:bCs/>
                <w:color w:val="000000"/>
                <w:sz w:val="24"/>
                <w:szCs w:val="20"/>
                <w:lang w:val="en-US" w:eastAsia="zh-CN"/>
              </w:rPr>
              <w:t>项目名称</w:t>
            </w:r>
          </w:p>
        </w:tc>
        <w:tc>
          <w:tcPr>
            <w:tcW w:w="432"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ascii="Times New Roman" w:hAnsi="Times New Roman" w:eastAsia="宋体" w:cs="Times New Roman"/>
                <w:b/>
                <w:bCs/>
                <w:color w:val="000000"/>
                <w:sz w:val="24"/>
                <w:szCs w:val="20"/>
              </w:rPr>
              <w:t>数量</w:t>
            </w:r>
          </w:p>
        </w:tc>
        <w:tc>
          <w:tcPr>
            <w:tcW w:w="2272"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ascii="Times New Roman" w:hAnsi="Times New Roman" w:eastAsia="宋体" w:cs="Times New Roman"/>
                <w:b/>
                <w:bCs/>
                <w:color w:val="000000"/>
                <w:sz w:val="24"/>
                <w:szCs w:val="20"/>
              </w:rPr>
            </w:pPr>
            <w:r>
              <w:rPr>
                <w:rFonts w:hint="eastAsia" w:ascii="Times New Roman" w:hAnsi="Times New Roman" w:eastAsia="宋体" w:cs="Times New Roman"/>
                <w:b/>
                <w:bCs/>
                <w:color w:val="000000"/>
                <w:sz w:val="24"/>
                <w:szCs w:val="20"/>
              </w:rPr>
              <w:t>收费标准</w:t>
            </w:r>
          </w:p>
        </w:tc>
        <w:tc>
          <w:tcPr>
            <w:tcW w:w="411"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ascii="Times New Roman" w:hAnsi="Times New Roman" w:eastAsia="宋体" w:cs="Times New Roman"/>
                <w:b/>
                <w:bCs/>
                <w:color w:val="000000"/>
                <w:sz w:val="24"/>
                <w:szCs w:val="20"/>
              </w:rPr>
            </w:pPr>
            <w:r>
              <w:rPr>
                <w:rFonts w:hint="eastAsia" w:ascii="Times New Roman" w:hAnsi="Times New Roman" w:eastAsia="宋体" w:cs="Times New Roman"/>
                <w:b/>
                <w:bCs/>
                <w:color w:val="000000"/>
                <w:sz w:val="24"/>
                <w:szCs w:val="20"/>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404"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rFonts w:ascii="Times New Roman" w:hAnsi="Times New Roman" w:eastAsia="宋体" w:cs="Times New Roman"/>
                <w:b w:val="0"/>
                <w:color w:val="000000"/>
                <w:sz w:val="24"/>
                <w:szCs w:val="20"/>
              </w:rPr>
            </w:pPr>
            <w:r>
              <w:rPr>
                <w:rFonts w:ascii="Times New Roman" w:hAnsi="Times New Roman" w:eastAsia="宋体" w:cs="Times New Roman"/>
                <w:b w:val="0"/>
                <w:color w:val="000000"/>
                <w:sz w:val="24"/>
                <w:szCs w:val="20"/>
              </w:rPr>
              <w:t>1</w:t>
            </w:r>
          </w:p>
        </w:tc>
        <w:tc>
          <w:tcPr>
            <w:tcW w:w="1479"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ascii="Times New Roman" w:hAnsi="Times New Roman" w:eastAsia="宋体" w:cs="Times New Roman"/>
                <w:b w:val="0"/>
                <w:color w:val="000000"/>
                <w:sz w:val="24"/>
                <w:szCs w:val="20"/>
                <w:lang w:eastAsia="zh-CN"/>
              </w:rPr>
            </w:pPr>
            <w:r>
              <w:rPr>
                <w:rFonts w:hint="eastAsia" w:ascii="Times New Roman" w:hAnsi="Times New Roman" w:eastAsia="宋体" w:cs="Times New Roman"/>
                <w:b w:val="0"/>
                <w:color w:val="000000"/>
                <w:sz w:val="24"/>
                <w:szCs w:val="20"/>
                <w:lang w:eastAsia="zh-CN"/>
              </w:rPr>
              <w:t>共享充电宝合作单位选聘</w:t>
            </w:r>
          </w:p>
        </w:tc>
        <w:tc>
          <w:tcPr>
            <w:tcW w:w="432"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default" w:ascii="Times New Roman" w:hAnsi="Times New Roman" w:eastAsia="宋体" w:cs="Times New Roman"/>
                <w:b w:val="0"/>
                <w:color w:val="000000"/>
                <w:sz w:val="24"/>
                <w:szCs w:val="20"/>
                <w:lang w:val="en-US" w:eastAsia="zh-CN"/>
              </w:rPr>
            </w:pPr>
            <w:r>
              <w:rPr>
                <w:rFonts w:hint="eastAsia" w:ascii="Times New Roman" w:hAnsi="Times New Roman" w:eastAsia="宋体" w:cs="Times New Roman"/>
                <w:b w:val="0"/>
                <w:color w:val="000000"/>
                <w:sz w:val="24"/>
                <w:szCs w:val="20"/>
                <w:lang w:val="en-US" w:eastAsia="zh-CN"/>
              </w:rPr>
              <w:t>1项</w:t>
            </w:r>
          </w:p>
        </w:tc>
        <w:tc>
          <w:tcPr>
            <w:tcW w:w="2272"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响应人须每月向</w:t>
            </w:r>
            <w:r>
              <w:rPr>
                <w:rFonts w:hint="eastAsia" w:ascii="Times New Roman" w:hAnsi="Times New Roman" w:eastAsia="宋体" w:cs="Times New Roman"/>
                <w:b w:val="0"/>
                <w:snapToGrid w:val="0"/>
                <w:color w:val="000000"/>
                <w:kern w:val="13"/>
                <w:sz w:val="24"/>
                <w:szCs w:val="28"/>
                <w:lang w:val="en-US" w:eastAsia="zh-CN"/>
              </w:rPr>
              <w:t>采购人</w:t>
            </w:r>
            <w:r>
              <w:rPr>
                <w:rFonts w:hint="default" w:ascii="Times New Roman" w:hAnsi="Times New Roman" w:eastAsia="宋体" w:cs="Times New Roman"/>
                <w:b w:val="0"/>
                <w:snapToGrid w:val="0"/>
                <w:color w:val="000000"/>
                <w:kern w:val="13"/>
                <w:sz w:val="24"/>
                <w:szCs w:val="28"/>
                <w:lang w:val="en-US" w:eastAsia="zh-CN"/>
              </w:rPr>
              <w:t>缴纳固定点位费和设备实际使用的电费，当月发生的费用在次月5日前进行结算，每台设备自安装调试完成开始计算起始时间。</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固定点位费结算</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12口台式共享充电宝缴纳的固定点位费不得低于190元/月/台，24口落地式共享充电宝每月缴纳的固定点位费不得低于345元/月/台。</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设备实际使用的电费结算</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按照每台设备当月实际耗电量</w:t>
            </w:r>
            <w:r>
              <w:rPr>
                <w:rFonts w:hint="eastAsia" w:ascii="Times New Roman" w:hAnsi="Times New Roman" w:eastAsia="宋体" w:cs="Times New Roman"/>
                <w:b w:val="0"/>
                <w:snapToGrid w:val="0"/>
                <w:color w:val="000000"/>
                <w:kern w:val="13"/>
                <w:sz w:val="24"/>
                <w:szCs w:val="28"/>
                <w:lang w:val="en-US" w:eastAsia="zh"/>
              </w:rPr>
              <w:t>乘以用电单价（</w:t>
            </w:r>
            <w:r>
              <w:rPr>
                <w:rFonts w:hint="default" w:ascii="Times New Roman" w:hAnsi="Times New Roman" w:eastAsia="宋体" w:cs="Times New Roman"/>
                <w:b w:val="0"/>
                <w:snapToGrid w:val="0"/>
                <w:color w:val="000000"/>
                <w:kern w:val="13"/>
                <w:sz w:val="24"/>
                <w:szCs w:val="28"/>
                <w:lang w:val="en-US" w:eastAsia="zh-CN"/>
              </w:rPr>
              <w:t>固定电价</w:t>
            </w:r>
            <w:r>
              <w:rPr>
                <w:rFonts w:hint="eastAsia" w:ascii="Times New Roman" w:hAnsi="Times New Roman" w:eastAsia="宋体" w:cs="Times New Roman"/>
                <w:b w:val="0"/>
                <w:snapToGrid w:val="0"/>
                <w:color w:val="000000"/>
                <w:kern w:val="13"/>
                <w:sz w:val="24"/>
                <w:szCs w:val="28"/>
                <w:lang w:val="en-US" w:eastAsia="zh"/>
              </w:rPr>
              <w:t>为</w:t>
            </w:r>
            <w:r>
              <w:rPr>
                <w:rFonts w:hint="default" w:ascii="Times New Roman" w:hAnsi="Times New Roman" w:eastAsia="宋体" w:cs="Times New Roman"/>
                <w:b w:val="0"/>
                <w:snapToGrid w:val="0"/>
                <w:color w:val="000000"/>
                <w:kern w:val="13"/>
                <w:sz w:val="24"/>
                <w:szCs w:val="28"/>
                <w:lang w:val="en-US" w:eastAsia="zh-CN"/>
              </w:rPr>
              <w:t>1元/度</w:t>
            </w:r>
            <w:r>
              <w:rPr>
                <w:rFonts w:hint="eastAsia" w:ascii="Times New Roman" w:hAnsi="Times New Roman" w:eastAsia="宋体" w:cs="Times New Roman"/>
                <w:b w:val="0"/>
                <w:snapToGrid w:val="0"/>
                <w:color w:val="000000"/>
                <w:kern w:val="13"/>
                <w:sz w:val="24"/>
                <w:szCs w:val="28"/>
                <w:lang w:val="en-US" w:eastAsia="zh"/>
              </w:rPr>
              <w:t>）</w:t>
            </w:r>
            <w:r>
              <w:rPr>
                <w:rFonts w:hint="default" w:ascii="Times New Roman" w:hAnsi="Times New Roman" w:eastAsia="宋体" w:cs="Times New Roman"/>
                <w:b w:val="0"/>
                <w:snapToGrid w:val="0"/>
                <w:color w:val="000000"/>
                <w:kern w:val="13"/>
                <w:sz w:val="24"/>
                <w:szCs w:val="28"/>
                <w:lang w:val="en-US" w:eastAsia="zh-CN"/>
              </w:rPr>
              <w:t>结算。</w:t>
            </w:r>
          </w:p>
          <w:p>
            <w:pPr>
              <w:jc w:val="left"/>
              <w:rPr>
                <w:rFonts w:hint="default" w:ascii="Times New Roman" w:hAnsi="Times New Roman" w:eastAsia="宋体" w:cs="Times New Roman"/>
                <w:b w:val="0"/>
                <w:snapToGrid w:val="0"/>
                <w:color w:val="000000"/>
                <w:kern w:val="13"/>
                <w:sz w:val="24"/>
                <w:szCs w:val="28"/>
                <w:lang w:val="en-US" w:eastAsia="zh-CN"/>
              </w:rPr>
            </w:pPr>
            <w:r>
              <w:rPr>
                <w:rFonts w:hint="default" w:ascii="Times New Roman" w:hAnsi="Times New Roman" w:eastAsia="宋体" w:cs="Times New Roman"/>
                <w:b w:val="0"/>
                <w:snapToGrid w:val="0"/>
                <w:color w:val="000000"/>
                <w:kern w:val="13"/>
                <w:sz w:val="24"/>
                <w:szCs w:val="28"/>
                <w:lang w:val="en-US" w:eastAsia="zh-CN"/>
              </w:rPr>
              <w:t>上述固定点位费为最低收费标准，凡响应人低于收费标准的报价视为无效报价。</w:t>
            </w:r>
          </w:p>
        </w:tc>
        <w:tc>
          <w:tcPr>
            <w:tcW w:w="411"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jc w:val="center"/>
              <w:rPr>
                <w:rFonts w:hint="eastAsia" w:ascii="Times New Roman" w:hAnsi="Times New Roman" w:eastAsia="宋体" w:cs="Times New Roman"/>
                <w:b w:val="0"/>
                <w:snapToGrid w:val="0"/>
                <w:color w:val="000000"/>
                <w:kern w:val="13"/>
                <w:sz w:val="24"/>
                <w:szCs w:val="28"/>
              </w:rPr>
            </w:pPr>
            <w:r>
              <w:rPr>
                <w:rFonts w:hint="eastAsia" w:ascii="Times New Roman" w:hAnsi="Times New Roman" w:eastAsia="宋体" w:cs="Times New Roman"/>
                <w:b w:val="0"/>
                <w:snapToGrid w:val="0"/>
                <w:color w:val="000000"/>
                <w:kern w:val="13"/>
                <w:sz w:val="24"/>
                <w:szCs w:val="28"/>
              </w:rPr>
              <w:t>无</w:t>
            </w:r>
          </w:p>
        </w:tc>
      </w:tr>
    </w:tbl>
    <w:p>
      <w:pPr>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详见第</w:t>
      </w:r>
      <w:r>
        <w:rPr>
          <w:rFonts w:hint="eastAsia" w:ascii="Times New Roman" w:hAnsi="Times New Roman" w:eastAsia="宋体" w:cs="Times New Roman"/>
          <w:sz w:val="24"/>
          <w:szCs w:val="24"/>
          <w:lang w:val="en-US" w:eastAsia="zh-CN"/>
        </w:rPr>
        <w:t>四</w:t>
      </w:r>
      <w:r>
        <w:rPr>
          <w:rFonts w:hint="eastAsia" w:ascii="Times New Roman" w:hAnsi="Times New Roman" w:eastAsia="宋体" w:cs="Times New Roman"/>
          <w:sz w:val="24"/>
          <w:szCs w:val="24"/>
        </w:rPr>
        <w:t>章“采购项目技术、服务、采购合同内容条款及其他商务要求”。</w:t>
      </w:r>
    </w:p>
    <w:p>
      <w:pPr>
        <w:spacing w:line="360" w:lineRule="auto"/>
        <w:jc w:val="left"/>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三</w:t>
      </w:r>
      <w:r>
        <w:rPr>
          <w:rFonts w:hint="eastAsia" w:ascii="Times New Roman" w:hAnsi="Times New Roman" w:eastAsia="宋体" w:cs="Times New Roman"/>
          <w:b/>
          <w:sz w:val="24"/>
          <w:szCs w:val="24"/>
        </w:rPr>
        <w:t>、供应商资格要求：</w:t>
      </w:r>
    </w:p>
    <w:p>
      <w:pPr>
        <w:widowControl w:val="0"/>
        <w:spacing w:line="360" w:lineRule="auto"/>
        <w:ind w:firstLine="600" w:firstLineChars="25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1、具有独立承担民事责任能力的组织；</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2、具有良好的商业信誉和健全的财务会计制度；</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3、具有履行合同所必须的设备和专业技术能力；</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4、具有依法缴纳税收和社会保障资金的良好记录；</w:t>
      </w:r>
    </w:p>
    <w:p>
      <w:pPr>
        <w:tabs>
          <w:tab w:val="left" w:pos="7665"/>
        </w:tabs>
        <w:spacing w:line="360" w:lineRule="auto"/>
        <w:ind w:firstLine="600" w:firstLineChars="250"/>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5、参加本次采购活动前三年内，在经营活动中没有重大违法记录；</w:t>
      </w:r>
    </w:p>
    <w:p>
      <w:pPr>
        <w:tabs>
          <w:tab w:val="left" w:pos="7665"/>
        </w:tabs>
        <w:spacing w:line="360" w:lineRule="auto"/>
        <w:ind w:firstLine="600" w:firstLineChars="250"/>
        <w:jc w:val="lef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rPr>
        <w:t>6、法定代表人授权委托书（法定代表人或单位负责人直接参与的除外）</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7、</w:t>
      </w:r>
      <w:r>
        <w:rPr>
          <w:rFonts w:hint="eastAsia" w:ascii="Times New Roman" w:hAnsi="Times New Roman" w:eastAsia="宋体" w:cs="Times New Roman"/>
          <w:sz w:val="24"/>
          <w:szCs w:val="20"/>
        </w:rPr>
        <w:t>在行贿犯罪信息查询期限内，</w:t>
      </w:r>
      <w:r>
        <w:rPr>
          <w:rFonts w:hint="eastAsia" w:ascii="Times New Roman" w:hAnsi="Times New Roman" w:eastAsia="宋体" w:cs="Times New Roman"/>
          <w:sz w:val="24"/>
          <w:szCs w:val="20"/>
          <w:lang w:val="en-US" w:eastAsia="zh-CN"/>
        </w:rPr>
        <w:t>供应商</w:t>
      </w:r>
      <w:r>
        <w:rPr>
          <w:rFonts w:hint="eastAsia" w:ascii="Times New Roman" w:hAnsi="Times New Roman" w:eastAsia="宋体" w:cs="Times New Roman"/>
          <w:sz w:val="24"/>
          <w:szCs w:val="20"/>
        </w:rPr>
        <w:t>及其现任法定代表人、主要负责人没有行贿犯罪记录</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8、供应商</w:t>
      </w:r>
      <w:r>
        <w:rPr>
          <w:rFonts w:hint="eastAsia" w:ascii="Times New Roman" w:hAnsi="Times New Roman" w:eastAsia="宋体" w:cs="Times New Roman"/>
          <w:sz w:val="24"/>
          <w:szCs w:val="20"/>
        </w:rPr>
        <w:t>未被“信用中国”列入失信被执行人名单、经营（活动）异常名录、严重失信主体名单</w:t>
      </w:r>
      <w:r>
        <w:rPr>
          <w:rFonts w:hint="eastAsia" w:ascii="Times New Roman" w:hAnsi="Times New Roman" w:eastAsia="宋体" w:cs="Times New Roman"/>
          <w:sz w:val="24"/>
          <w:szCs w:val="20"/>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9、提供共享充电宝品牌商针对该产品的销售授权书，或具有授权权限的代理商针对本项目的产品授权（且需提供该代理商具有有效授权权限的相关证明文件，证明文件需能显示产品制造商对投标产品授权链条的完整性）（响应人非制造商适用）</w:t>
      </w:r>
      <w:r>
        <w:rPr>
          <w:rFonts w:hint="eastAsia" w:ascii="Times New Roman" w:hAnsi="Times New Roman" w:eastAsia="宋体" w:cs="Times New Roman"/>
          <w:sz w:val="24"/>
          <w:szCs w:val="20"/>
          <w:lang w:val="en-US" w:eastAsia="zh"/>
        </w:rPr>
        <w:t>。</w:t>
      </w:r>
      <w:r>
        <w:rPr>
          <w:rFonts w:hint="eastAsia" w:ascii="Times New Roman" w:hAnsi="Times New Roman" w:eastAsia="宋体" w:cs="Times New Roman"/>
          <w:sz w:val="24"/>
          <w:szCs w:val="20"/>
          <w:lang w:val="en-US" w:eastAsia="zh-CN"/>
        </w:rPr>
        <w:t>提供授权证书为同一厂家（品牌）</w:t>
      </w:r>
      <w:r>
        <w:rPr>
          <w:rFonts w:hint="eastAsia" w:ascii="Times New Roman" w:hAnsi="Times New Roman" w:eastAsia="宋体" w:cs="Times New Roman"/>
          <w:sz w:val="24"/>
          <w:szCs w:val="20"/>
          <w:lang w:val="en-US" w:eastAsia="zh"/>
        </w:rPr>
        <w:t>的视为不同响应人</w:t>
      </w:r>
      <w:r>
        <w:rPr>
          <w:rFonts w:hint="eastAsia" w:ascii="Times New Roman" w:hAnsi="Times New Roman" w:eastAsia="宋体" w:cs="Times New Roman"/>
          <w:sz w:val="24"/>
          <w:szCs w:val="20"/>
          <w:lang w:val="en-US" w:eastAsia="zh-CN"/>
        </w:rPr>
        <w:t>。</w:t>
      </w:r>
    </w:p>
    <w:p>
      <w:pPr>
        <w:spacing w:line="360" w:lineRule="auto"/>
        <w:jc w:val="left"/>
        <w:rPr>
          <w:rFonts w:hint="eastAsia" w:ascii="Times New Roman" w:hAnsi="Times New Roman" w:eastAsia="宋体" w:cs="Times New Roman"/>
          <w:b/>
          <w:sz w:val="24"/>
          <w:szCs w:val="24"/>
        </w:rPr>
      </w:pPr>
      <w:bookmarkStart w:id="3" w:name="_Toc271795056"/>
      <w:bookmarkStart w:id="4" w:name="_Toc271795176"/>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、采购文件的</w:t>
      </w:r>
      <w:r>
        <w:rPr>
          <w:rFonts w:hint="eastAsia" w:ascii="Times New Roman" w:hAnsi="Times New Roman" w:eastAsia="宋体" w:cs="Times New Roman"/>
          <w:b/>
          <w:sz w:val="24"/>
          <w:szCs w:val="24"/>
          <w:lang w:val="en-US" w:eastAsia="zh-CN"/>
        </w:rPr>
        <w:t>获取</w:t>
      </w:r>
      <w:r>
        <w:rPr>
          <w:rFonts w:hint="eastAsia" w:ascii="Times New Roman" w:hAnsi="Times New Roman" w:eastAsia="宋体" w:cs="Times New Roman"/>
          <w:b/>
          <w:sz w:val="24"/>
          <w:szCs w:val="24"/>
        </w:rPr>
        <w:t>：</w:t>
      </w:r>
      <w:bookmarkEnd w:id="3"/>
      <w:bookmarkEnd w:id="4"/>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1、</w:t>
      </w:r>
      <w:r>
        <w:rPr>
          <w:rFonts w:hint="eastAsia" w:ascii="Times" w:hAnsi="Times" w:eastAsia="宋体" w:cs="Times New Roman"/>
          <w:i w:val="0"/>
          <w:iCs w:val="0"/>
          <w:caps w:val="0"/>
          <w:color w:val="000000"/>
          <w:spacing w:val="0"/>
          <w:sz w:val="24"/>
          <w:szCs w:val="24"/>
          <w:highlight w:val="none"/>
          <w:shd w:val="clear" w:color="auto" w:fill="auto"/>
        </w:rPr>
        <w:t>获取时间</w:t>
      </w:r>
      <w:r>
        <w:rPr>
          <w:rFonts w:hint="eastAsia" w:ascii="Times" w:hAnsi="Times" w:eastAsia="宋体" w:cs="Times New Roman"/>
          <w:i w:val="0"/>
          <w:iCs w:val="0"/>
          <w:caps w:val="0"/>
          <w:color w:val="000000"/>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000000"/>
          <w:spacing w:val="0"/>
          <w:sz w:val="24"/>
          <w:szCs w:val="24"/>
          <w:highlight w:val="none"/>
          <w:u w:val="none"/>
          <w:shd w:val="clear" w:color="auto" w:fill="auto"/>
        </w:rPr>
        <w:t>202</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000000"/>
          <w:spacing w:val="0"/>
          <w:sz w:val="24"/>
          <w:szCs w:val="24"/>
          <w:highlight w:val="none"/>
          <w:shd w:val="clear" w:color="auto" w:fill="auto"/>
        </w:rPr>
        <w:t>年</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16</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000000"/>
          <w:spacing w:val="0"/>
          <w:sz w:val="24"/>
          <w:szCs w:val="24"/>
          <w:highlight w:val="none"/>
          <w:shd w:val="clear" w:color="auto" w:fill="auto"/>
        </w:rPr>
        <w:t>至</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18</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u w:val="none"/>
          <w:shd w:val="clear" w:color="auto" w:fill="auto"/>
        </w:rPr>
        <w:t>17</w:t>
      </w:r>
      <w:r>
        <w:rPr>
          <w:rFonts w:hint="eastAsia" w:ascii="Times" w:hAnsi="Times" w:eastAsia="宋体" w:cs="Times New Roman"/>
          <w:b w:val="0"/>
          <w:bCs w:val="0"/>
          <w:i w:val="0"/>
          <w:iCs w:val="0"/>
          <w:caps w:val="0"/>
          <w:color w:val="000000"/>
          <w:spacing w:val="0"/>
          <w:sz w:val="24"/>
          <w:szCs w:val="24"/>
          <w:highlight w:val="none"/>
          <w:shd w:val="clear" w:color="auto" w:fill="auto"/>
        </w:rPr>
        <w:t>时</w:t>
      </w:r>
      <w:r>
        <w:rPr>
          <w:rFonts w:hint="eastAsia" w:ascii="Times" w:hAnsi="Times" w:eastAsia="宋体" w:cs="Times New Roman"/>
          <w:b w:val="0"/>
          <w:bCs w:val="0"/>
          <w:i w:val="0"/>
          <w:iCs w:val="0"/>
          <w:caps w:val="0"/>
          <w:color w:val="000000"/>
          <w:spacing w:val="0"/>
          <w:sz w:val="24"/>
          <w:szCs w:val="24"/>
          <w:highlight w:val="none"/>
          <w:u w:val="none"/>
          <w:shd w:val="clear" w:color="auto" w:fill="auto"/>
        </w:rPr>
        <w:t>00</w:t>
      </w:r>
      <w:r>
        <w:rPr>
          <w:rFonts w:hint="eastAsia" w:ascii="Times" w:hAnsi="Times" w:eastAsia="宋体" w:cs="Times New Roman"/>
          <w:b w:val="0"/>
          <w:bCs w:val="0"/>
          <w:i w:val="0"/>
          <w:iCs w:val="0"/>
          <w:caps w:val="0"/>
          <w:color w:val="000000"/>
          <w:spacing w:val="0"/>
          <w:sz w:val="24"/>
          <w:szCs w:val="24"/>
          <w:highlight w:val="none"/>
          <w:shd w:val="clear" w:color="auto" w:fill="auto"/>
        </w:rPr>
        <w:t>分</w:t>
      </w:r>
      <w:r>
        <w:rPr>
          <w:rFonts w:hint="eastAsia" w:ascii="Times" w:hAnsi="Times" w:eastAsia="宋体" w:cs="Times New Roman"/>
          <w:i w:val="0"/>
          <w:iCs w:val="0"/>
          <w:caps w:val="0"/>
          <w:color w:val="000000"/>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2、</w:t>
      </w:r>
      <w:r>
        <w:rPr>
          <w:rFonts w:hint="eastAsia" w:ascii="Times" w:hAnsi="Times" w:eastAsia="宋体" w:cs="Times New Roman"/>
          <w:i w:val="0"/>
          <w:iCs w:val="0"/>
          <w:caps w:val="0"/>
          <w:color w:val="000000"/>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3、</w:t>
      </w:r>
      <w:r>
        <w:rPr>
          <w:rFonts w:hint="eastAsia" w:ascii="Times" w:hAnsi="Times" w:eastAsia="宋体" w:cs="Times New Roman"/>
          <w:i w:val="0"/>
          <w:iCs w:val="0"/>
          <w:caps w:val="0"/>
          <w:color w:val="000000"/>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w:t>
      </w:r>
      <w:r>
        <w:rPr>
          <w:rFonts w:hint="eastAsia" w:ascii="Times" w:hAnsi="Times" w:eastAsia="宋体" w:cs="Times New Roman"/>
          <w:i w:val="0"/>
          <w:iCs w:val="0"/>
          <w:caps w:val="0"/>
          <w:color w:val="auto"/>
          <w:spacing w:val="0"/>
          <w:sz w:val="24"/>
          <w:szCs w:val="24"/>
          <w:highlight w:val="none"/>
          <w:shd w:val="clear" w:color="auto" w:fill="auto"/>
          <w:lang w:eastAsia="zh"/>
        </w:rPr>
        <w:t>注册</w:t>
      </w:r>
      <w:r>
        <w:rPr>
          <w:rFonts w:hint="eastAsia" w:ascii="Times" w:hAnsi="Times" w:eastAsia="宋体" w:cs="Times New Roman"/>
          <w:i w:val="0"/>
          <w:iCs w:val="0"/>
          <w:caps w:val="0"/>
          <w:color w:val="auto"/>
          <w:spacing w:val="0"/>
          <w:sz w:val="24"/>
          <w:szCs w:val="24"/>
          <w:highlight w:val="none"/>
          <w:shd w:val="clear" w:color="auto" w:fill="auto"/>
        </w:rPr>
        <w:t>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4、</w:t>
      </w:r>
      <w:r>
        <w:rPr>
          <w:rFonts w:hint="eastAsia" w:ascii="宋体" w:hAnsi="宋体" w:eastAsia="宋体" w:cs="宋体"/>
          <w:color w:val="auto"/>
          <w:sz w:val="24"/>
          <w:szCs w:val="24"/>
          <w:highlight w:val="none"/>
          <w:lang w:val="zh-CN"/>
        </w:rPr>
        <w:t>潜在响应人在四川能源天府阳光采购服务平台取得采购文件后决定参加本项目的，需在响应文件递交截止时间前进行报名。报名时须提供以下资料并发送至</w:t>
      </w:r>
      <w:r>
        <w:rPr>
          <w:rFonts w:hint="eastAsia" w:ascii="宋体" w:hAnsi="宋体" w:eastAsia="宋体" w:cs="宋体"/>
          <w:color w:val="auto"/>
          <w:sz w:val="24"/>
          <w:szCs w:val="24"/>
          <w:highlight w:val="none"/>
          <w:lang w:val="en-US" w:eastAsia="zh-CN"/>
        </w:rPr>
        <w:t>采购人邮箱</w:t>
      </w:r>
      <w:r>
        <w:rPr>
          <w:rFonts w:hint="eastAsia" w:ascii="宋体" w:hAnsi="宋体" w:eastAsia="宋体" w:cs="宋体"/>
          <w:color w:val="auto"/>
          <w:sz w:val="24"/>
          <w:szCs w:val="24"/>
          <w:highlight w:val="none"/>
          <w:lang w:val="zh-CN"/>
        </w:rPr>
        <w:t>TZB0834@126.com。</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（1）经办人介绍信或法定代表人授权委托书加盖公章。</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（2）经办人及法人身份证复印件加盖公章。</w:t>
      </w:r>
    </w:p>
    <w:p>
      <w:pPr>
        <w:numPr>
          <w:ilvl w:val="0"/>
          <w:numId w:val="0"/>
        </w:numPr>
        <w:spacing w:line="550" w:lineRule="exact"/>
        <w:ind w:firstLine="480" w:firstLineChars="200"/>
        <w:rPr>
          <w:rFonts w:hint="eastAsia" w:ascii="Times" w:hAnsi="Times" w:eastAsia="宋体" w:cs="Times New Roman"/>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zh-CN"/>
        </w:rPr>
        <w:t>若提供的资格证明文件不全或不实，将导致其资格被取消。未按上述要求获取文件及报名的，递交的响应文件将不予接收。</w:t>
      </w:r>
    </w:p>
    <w:p>
      <w:pPr>
        <w:spacing w:line="360" w:lineRule="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、响应文件递交截止时间：</w:t>
      </w:r>
      <w:r>
        <w:rPr>
          <w:rFonts w:hint="eastAsia" w:ascii="Times New Roman" w:hAnsi="Times New Roman" w:eastAsia="宋体" w:cs="Times New Roman"/>
          <w:b/>
          <w:sz w:val="24"/>
          <w:szCs w:val="24"/>
          <w:highlight w:val="none"/>
          <w:lang w:eastAsia="zh-CN"/>
        </w:rPr>
        <w:t>2026年0</w:t>
      </w:r>
      <w:r>
        <w:rPr>
          <w:rFonts w:hint="eastAsia" w:ascii="Times New Roman" w:hAnsi="Times New Roman" w:eastAsia="宋体" w:cs="Times New Roman"/>
          <w:b/>
          <w:sz w:val="24"/>
          <w:szCs w:val="24"/>
          <w:highlight w:val="none"/>
          <w:lang w:val="en-US" w:eastAsia="zh-CN"/>
        </w:rPr>
        <w:t>7</w:t>
      </w:r>
      <w:r>
        <w:rPr>
          <w:rFonts w:hint="eastAsia" w:ascii="Times New Roman" w:hAnsi="Times New Roman" w:eastAsia="宋体" w:cs="Times New Roman"/>
          <w:b/>
          <w:sz w:val="24"/>
          <w:szCs w:val="24"/>
          <w:highlight w:val="none"/>
          <w:lang w:eastAsia="zh-CN"/>
        </w:rPr>
        <w:t>月</w:t>
      </w:r>
      <w:r>
        <w:rPr>
          <w:rFonts w:hint="eastAsia" w:ascii="Times New Roman" w:hAnsi="Times New Roman" w:eastAsia="宋体" w:cs="Times New Roman"/>
          <w:b/>
          <w:sz w:val="24"/>
          <w:szCs w:val="24"/>
          <w:highlight w:val="none"/>
          <w:lang w:val="en-US" w:eastAsia="zh-CN"/>
        </w:rPr>
        <w:t>20</w:t>
      </w:r>
      <w:r>
        <w:rPr>
          <w:rFonts w:hint="eastAsia" w:ascii="Times New Roman" w:hAnsi="Times New Roman" w:eastAsia="宋体" w:cs="Times New Roman"/>
          <w:b/>
          <w:sz w:val="24"/>
          <w:szCs w:val="24"/>
          <w:highlight w:val="none"/>
        </w:rPr>
        <w:t>日上午</w:t>
      </w:r>
      <w:r>
        <w:rPr>
          <w:rFonts w:hint="eastAsia" w:ascii="Times New Roman" w:hAnsi="Times New Roman" w:eastAsia="宋体" w:cs="Times New Roman"/>
          <w:b/>
          <w:sz w:val="24"/>
          <w:szCs w:val="24"/>
          <w:highlight w:val="none"/>
          <w:lang w:val="en-US" w:eastAsia="zh-CN"/>
        </w:rPr>
        <w:t>09</w:t>
      </w:r>
      <w:r>
        <w:rPr>
          <w:rFonts w:hint="eastAsia" w:ascii="Times New Roman" w:hAnsi="Times New Roman" w:eastAsia="宋体" w:cs="Times New Roman"/>
          <w:b/>
          <w:sz w:val="24"/>
          <w:szCs w:val="24"/>
          <w:highlight w:val="none"/>
        </w:rPr>
        <w:t>:</w:t>
      </w:r>
      <w:r>
        <w:rPr>
          <w:rFonts w:hint="eastAsia" w:ascii="Times New Roman" w:hAnsi="Times New Roman" w:eastAsia="宋体" w:cs="Times New Roman"/>
          <w:b/>
          <w:sz w:val="24"/>
          <w:szCs w:val="24"/>
          <w:highlight w:val="none"/>
          <w:lang w:val="en-US" w:eastAsia="zh-CN"/>
        </w:rPr>
        <w:t>0</w:t>
      </w:r>
      <w:r>
        <w:rPr>
          <w:rFonts w:hint="eastAsia" w:ascii="Times New Roman" w:hAnsi="Times New Roman" w:eastAsia="宋体" w:cs="Times New Roman"/>
          <w:b/>
          <w:sz w:val="24"/>
          <w:szCs w:val="24"/>
          <w:highlight w:val="none"/>
        </w:rPr>
        <w:t>0分（北京时间）</w:t>
      </w:r>
      <w:r>
        <w:rPr>
          <w:rFonts w:hint="eastAsia" w:ascii="Times New Roman" w:hAnsi="Times New Roman" w:eastAsia="宋体" w:cs="Times New Roman"/>
          <w:b/>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r>
        <w:rPr>
          <w:rFonts w:hint="eastAsia" w:ascii="Times New Roman" w:hAnsi="Times New Roman" w:eastAsia="宋体" w:cs="Times New Roman"/>
          <w:b/>
          <w:sz w:val="24"/>
          <w:szCs w:val="24"/>
        </w:rPr>
        <w:t>。</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六</w:t>
      </w:r>
      <w:r>
        <w:rPr>
          <w:rFonts w:hint="eastAsia" w:ascii="Times New Roman" w:hAnsi="Times New Roman" w:eastAsia="宋体" w:cs="Times New Roman"/>
          <w:b/>
          <w:sz w:val="24"/>
          <w:szCs w:val="24"/>
        </w:rPr>
        <w:t>、响应文件递交地点：</w:t>
      </w:r>
      <w:r>
        <w:rPr>
          <w:rFonts w:hint="eastAsia" w:ascii="Times New Roman" w:hAnsi="Times New Roman" w:eastAsia="宋体" w:cs="Times New Roman"/>
          <w:b/>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ascii="Times New Roman" w:hAnsi="Times New Roman" w:eastAsia="宋体" w:cs="Times New Roman"/>
          <w:b/>
          <w:sz w:val="24"/>
          <w:szCs w:val="24"/>
        </w:rPr>
        <w:t>。</w:t>
      </w:r>
    </w:p>
    <w:p>
      <w:pPr>
        <w:tabs>
          <w:tab w:val="left" w:pos="1050"/>
          <w:tab w:val="center" w:pos="4563"/>
        </w:tabs>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响应文件必须在《</w:t>
      </w:r>
      <w:r>
        <w:rPr>
          <w:rFonts w:hint="eastAsia" w:ascii="Times New Roman" w:hAnsi="Times New Roman" w:eastAsia="宋体" w:cs="Times New Roman"/>
          <w:sz w:val="24"/>
          <w:szCs w:val="24"/>
          <w:lang w:val="en-US" w:eastAsia="zh-CN"/>
        </w:rPr>
        <w:t>竞价采购文件</w:t>
      </w:r>
      <w:r>
        <w:rPr>
          <w:rFonts w:hint="eastAsia" w:ascii="Times New Roman" w:hAnsi="Times New Roman" w:eastAsia="宋体" w:cs="Times New Roman"/>
          <w:sz w:val="24"/>
          <w:szCs w:val="24"/>
        </w:rPr>
        <w:t>》中所规定的截止时间前送达规定的地点。逾期送达的《响应文件》恕不接收。本次</w:t>
      </w:r>
      <w:r>
        <w:rPr>
          <w:rFonts w:hint="eastAsia" w:ascii="Times New Roman" w:hAnsi="Times New Roman" w:eastAsia="宋体" w:cs="Times New Roman"/>
          <w:sz w:val="24"/>
          <w:szCs w:val="24"/>
          <w:lang w:eastAsia="zh-CN"/>
        </w:rPr>
        <w:t>采购</w:t>
      </w:r>
      <w:r>
        <w:rPr>
          <w:rFonts w:hint="eastAsia" w:ascii="Times New Roman" w:hAnsi="Times New Roman" w:eastAsia="宋体" w:cs="Times New Roman"/>
          <w:sz w:val="24"/>
          <w:szCs w:val="24"/>
          <w:lang w:val="en-US" w:eastAsia="zh-CN"/>
        </w:rPr>
        <w:t>响应</w:t>
      </w:r>
      <w:r>
        <w:rPr>
          <w:rFonts w:hint="eastAsia" w:ascii="Times New Roman" w:hAnsi="Times New Roman" w:eastAsia="宋体" w:cs="Times New Roman"/>
          <w:sz w:val="24"/>
          <w:szCs w:val="24"/>
        </w:rPr>
        <w:t>文件不接受邮寄。</w:t>
      </w:r>
    </w:p>
    <w:p>
      <w:pPr>
        <w:numPr>
          <w:ilvl w:val="0"/>
          <w:numId w:val="0"/>
        </w:numPr>
        <w:spacing w:line="560" w:lineRule="exact"/>
        <w:ind w:firstLine="0"/>
        <w:rPr>
          <w:rFonts w:hint="default" w:ascii="宋体" w:hAnsi="宋体" w:eastAsia="宋体" w:cs="宋体"/>
          <w:b/>
          <w:bCs/>
          <w:color w:val="auto"/>
          <w:sz w:val="24"/>
          <w:szCs w:val="24"/>
          <w:highlight w:val="none"/>
          <w:lang w:val="en-US"/>
        </w:rPr>
      </w:pPr>
      <w:r>
        <w:rPr>
          <w:rFonts w:hint="eastAsia" w:ascii="Times New Roman" w:hAnsi="Times New Roman" w:eastAsia="宋体" w:cs="Times New Roman"/>
          <w:b/>
          <w:sz w:val="24"/>
          <w:szCs w:val="24"/>
          <w:lang w:val="en-US" w:eastAsia="zh-CN"/>
        </w:rPr>
        <w:t>七、</w:t>
      </w:r>
      <w:r>
        <w:rPr>
          <w:rFonts w:hint="eastAsia" w:ascii="宋体" w:hAnsi="宋体" w:eastAsia="宋体" w:cs="宋体"/>
          <w:b/>
          <w:bCs/>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sz w:val="24"/>
          <w:szCs w:val="24"/>
          <w:highlight w:val="none"/>
          <w:u w:val="none"/>
          <w:lang w:val="zh-CN"/>
        </w:rPr>
      </w:pPr>
      <w:r>
        <w:rPr>
          <w:rStyle w:val="8"/>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p>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九</w:t>
      </w:r>
      <w:r>
        <w:rPr>
          <w:rFonts w:hint="eastAsia" w:ascii="Times New Roman" w:hAnsi="Times New Roman" w:eastAsia="宋体" w:cs="Times New Roman"/>
          <w:b/>
          <w:sz w:val="24"/>
          <w:szCs w:val="24"/>
        </w:rPr>
        <w:t>、联系方式：</w:t>
      </w:r>
    </w:p>
    <w:p>
      <w:pPr>
        <w:spacing w:line="360" w:lineRule="auto"/>
        <w:ind w:left="424" w:leftChars="202" w:firstLine="1"/>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rPr>
        <w:t>采 购 人：</w:t>
      </w:r>
      <w:r>
        <w:rPr>
          <w:rStyle w:val="8"/>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地    址：</w:t>
      </w:r>
      <w:r>
        <w:rPr>
          <w:rStyle w:val="8"/>
          <w:rFonts w:hint="eastAsia" w:ascii="Times New Roman" w:hAnsi="Times New Roman" w:eastAsia="宋体" w:cs="Times New Roman"/>
          <w:bCs/>
          <w:color w:val="auto"/>
          <w:sz w:val="24"/>
          <w:szCs w:val="24"/>
          <w:highlight w:val="none"/>
          <w:u w:val="none"/>
          <w:lang w:val="zh-CN"/>
        </w:rPr>
        <w:t>西昌市朝阳东路 1 号川投西昌医院</w:t>
      </w:r>
      <w:r>
        <w:rPr>
          <w:rFonts w:hint="eastAsia" w:ascii="Times New Roman" w:hAnsi="Times New Roman" w:eastAsia="宋体" w:cs="Times New Roman"/>
          <w:bCs/>
          <w:sz w:val="24"/>
          <w:szCs w:val="24"/>
          <w:lang w:val="zh-CN" w:eastAsia="zh-CN"/>
        </w:rPr>
        <w:t xml:space="preserve"> </w:t>
      </w:r>
    </w:p>
    <w:p>
      <w:pPr>
        <w:tabs>
          <w:tab w:val="center" w:pos="4563"/>
        </w:tabs>
        <w:spacing w:line="360" w:lineRule="auto"/>
        <w:ind w:firstLine="424" w:firstLineChars="177"/>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联 系 人：</w:t>
      </w:r>
      <w:r>
        <w:rPr>
          <w:rFonts w:hint="eastAsia" w:ascii="Times New Roman" w:hAnsi="Times New Roman" w:eastAsia="宋体" w:cs="Times New Roman"/>
          <w:sz w:val="24"/>
          <w:szCs w:val="24"/>
          <w:lang w:eastAsia="zh-CN"/>
        </w:rPr>
        <w:t>王老师</w:t>
      </w:r>
    </w:p>
    <w:p>
      <w:pPr>
        <w:tabs>
          <w:tab w:val="center" w:pos="4563"/>
        </w:tabs>
        <w:spacing w:line="360" w:lineRule="auto"/>
        <w:ind w:firstLine="424" w:firstLineChars="177"/>
        <w:jc w:val="left"/>
        <w:rPr>
          <w:rFonts w:hint="eastAsia" w:ascii="Times New Roman" w:hAnsi="Times New Roman" w:eastAsia="宋体" w:cs="Times New Roman"/>
          <w:b/>
          <w:bCs/>
          <w:sz w:val="36"/>
          <w:szCs w:val="36"/>
        </w:rPr>
      </w:pPr>
      <w:r>
        <w:rPr>
          <w:rFonts w:hint="eastAsia" w:ascii="Times New Roman" w:hAnsi="Times New Roman" w:eastAsia="宋体" w:cs="Times New Roman"/>
          <w:color w:val="000000"/>
          <w:sz w:val="24"/>
          <w:szCs w:val="24"/>
        </w:rPr>
        <w:t>联系电话：</w:t>
      </w:r>
      <w:r>
        <w:rPr>
          <w:rStyle w:val="8"/>
          <w:rFonts w:hint="eastAsia" w:ascii="Times New Roman" w:hAnsi="Times New Roman" w:eastAsia="宋体" w:cs="Times New Roman"/>
          <w:bCs/>
          <w:color w:val="auto"/>
          <w:sz w:val="24"/>
          <w:szCs w:val="24"/>
          <w:highlight w:val="none"/>
          <w:u w:val="none"/>
          <w:lang w:val="zh-CN"/>
        </w:rPr>
        <w:t>0834-6999550</w:t>
      </w:r>
      <w:r>
        <w:rPr>
          <w:rFonts w:hint="eastAsia" w:ascii="Times New Roman" w:hAnsi="Times New Roman" w:eastAsia="宋体" w:cs="Times New Roman"/>
          <w:bCs/>
          <w:color w:val="000000"/>
          <w:sz w:val="24"/>
          <w:szCs w:val="24"/>
          <w:lang w:val="zh-CN"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4D13"/>
    <w:rsid w:val="047E2992"/>
    <w:rsid w:val="175659E7"/>
    <w:rsid w:val="3DDA3504"/>
    <w:rsid w:val="405E4DD9"/>
    <w:rsid w:val="44374D13"/>
    <w:rsid w:val="4EEA2B47"/>
    <w:rsid w:val="5ACD3EE5"/>
    <w:rsid w:val="5C9267DC"/>
    <w:rsid w:val="62D9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4">
    <w:name w:val="Salutation"/>
    <w:basedOn w:val="1"/>
    <w:next w:val="1"/>
    <w:qFormat/>
    <w:uiPriority w:val="0"/>
    <w:pPr>
      <w:widowControl/>
      <w:adjustRightInd w:val="0"/>
      <w:snapToGrid w:val="0"/>
      <w:spacing w:after="200"/>
      <w:jc w:val="left"/>
    </w:pPr>
    <w:rPr>
      <w:rFonts w:ascii="Tahoma" w:hAnsi="Tahoma" w:eastAsia="微软雅黑"/>
      <w:kern w:val="0"/>
      <w:sz w:val="22"/>
    </w:rPr>
  </w:style>
  <w:style w:type="paragraph" w:styleId="5">
    <w:name w:val="footer"/>
    <w:basedOn w:val="1"/>
    <w:qFormat/>
    <w:uiPriority w:val="99"/>
    <w:pPr>
      <w:tabs>
        <w:tab w:val="center" w:pos="4153"/>
        <w:tab w:val="center" w:pos="4320"/>
        <w:tab w:val="right" w:pos="8306"/>
        <w:tab w:val="right" w:pos="8640"/>
      </w:tabs>
      <w:snapToGrid w:val="0"/>
      <w:jc w:val="left"/>
    </w:pPr>
    <w:rPr>
      <w:sz w:val="18"/>
      <w:szCs w:val="18"/>
    </w:rPr>
  </w:style>
  <w:style w:type="character" w:styleId="8">
    <w:name w:val="Hyperlink"/>
    <w:unhideWhenUsed/>
    <w:qFormat/>
    <w:uiPriority w:val="99"/>
    <w:rPr>
      <w:color w:val="0000FF"/>
      <w:u w:val="single"/>
    </w:rPr>
  </w:style>
  <w:style w:type="character" w:customStyle="1" w:styleId="9">
    <w:name w:val="15"/>
    <w:basedOn w:val="7"/>
    <w:qFormat/>
    <w:uiPriority w:val="0"/>
    <w:rPr>
      <w:rFonts w:hint="default" w:ascii="Times New Roman" w:hAnsi="Times New Roman" w:cs="Times New Roman"/>
    </w:rPr>
  </w:style>
  <w:style w:type="paragraph" w:customStyle="1" w:styleId="10">
    <w:name w:val="正文首行缩进两字符"/>
    <w:basedOn w:val="1"/>
    <w:qFormat/>
    <w:uiPriority w:val="99"/>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2026-04-07T01:56:00Z</dcterms:created>
  <dc:creator>王可馨</dc:creator>
  <cp:lastModifiedBy>王可馨</cp:lastModifiedBy>
  <dcterms:modified xsi:type="dcterms:W3CDTF">2026-07-15T02:42:39Z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