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rPr>
      </w:pPr>
      <w:bookmarkStart w:id="0" w:name="OLE_LINK14"/>
      <w:bookmarkStart w:id="1" w:name="OLE_LINK3"/>
      <w:bookmarkStart w:id="2" w:name="OLE_LINK8"/>
      <w:bookmarkStart w:id="3" w:name="OLE_LINK2"/>
      <w:r>
        <w:rPr>
          <w:rFonts w:hint="eastAsia" w:eastAsia="宋体"/>
          <w:b/>
          <w:bCs/>
          <w:sz w:val="36"/>
          <w:szCs w:val="36"/>
        </w:rPr>
        <w:t>西昌川投大健康科技有限公司</w:t>
      </w:r>
    </w:p>
    <w:bookmarkEnd w:id="0"/>
    <w:bookmarkEnd w:id="1"/>
    <w:bookmarkEnd w:id="2"/>
    <w:bookmarkEnd w:id="3"/>
    <w:p>
      <w:pPr>
        <w:spacing w:line="240" w:lineRule="auto"/>
        <w:jc w:val="center"/>
        <w:rPr>
          <w:rFonts w:hint="eastAsia" w:cs="Times New Roman"/>
          <w:b/>
          <w:bCs/>
          <w:sz w:val="36"/>
          <w:szCs w:val="36"/>
          <w:lang w:val="en-US" w:eastAsia="zh-CN"/>
        </w:rPr>
      </w:pPr>
      <w:bookmarkStart w:id="4" w:name="OLE_LINK7"/>
      <w:r>
        <w:rPr>
          <w:rFonts w:hint="eastAsia" w:ascii="Times New Roman" w:hAnsi="Times New Roman" w:eastAsia="宋体" w:cs="Times New Roman"/>
          <w:b/>
          <w:bCs/>
          <w:sz w:val="36"/>
          <w:szCs w:val="36"/>
          <w:lang w:val="en-US" w:eastAsia="zh-CN"/>
        </w:rPr>
        <w:t>川投西昌医院婴儿奶粉采购项目</w:t>
      </w:r>
      <w:r>
        <w:rPr>
          <w:rFonts w:hint="eastAsia" w:cs="Times New Roman"/>
          <w:b/>
          <w:bCs/>
          <w:sz w:val="36"/>
          <w:szCs w:val="36"/>
          <w:lang w:val="en-US" w:eastAsia="zh-CN"/>
        </w:rPr>
        <w:t>（第二次）</w:t>
      </w:r>
    </w:p>
    <w:p>
      <w:pPr>
        <w:spacing w:line="240" w:lineRule="auto"/>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竞价采购公告</w:t>
      </w:r>
    </w:p>
    <w:bookmarkEnd w:id="4"/>
    <w:p>
      <w:pPr>
        <w:tabs>
          <w:tab w:val="left" w:pos="1050"/>
          <w:tab w:val="center" w:pos="4563"/>
        </w:tabs>
        <w:spacing w:line="360" w:lineRule="auto"/>
        <w:jc w:val="left"/>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四川能源医药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color w:val="auto"/>
          <w:sz w:val="24"/>
          <w:szCs w:val="24"/>
          <w:highlight w:val="none"/>
          <w:lang w:val="en-US" w:eastAsia="zh-CN"/>
        </w:rPr>
        <w:t>拟对</w:t>
      </w:r>
      <w:bookmarkStart w:id="5" w:name="PO_默认文件内容_1"/>
      <w:r>
        <w:rPr>
          <w:rFonts w:hint="eastAsia" w:ascii="Times New Roman" w:hAnsi="Times New Roman" w:eastAsia="宋体" w:cs="Times New Roman"/>
          <w:b w:val="0"/>
          <w:bCs w:val="0"/>
          <w:color w:val="auto"/>
          <w:sz w:val="24"/>
          <w:szCs w:val="24"/>
          <w:highlight w:val="none"/>
          <w:u w:val="none"/>
          <w:lang w:eastAsia="zh-CN"/>
        </w:rPr>
        <w:t>川投西昌医院婴儿奶粉采购项目</w:t>
      </w:r>
      <w:r>
        <w:rPr>
          <w:rFonts w:hint="eastAsia" w:cs="Times New Roman"/>
          <w:b w:val="0"/>
          <w:bCs w:val="0"/>
          <w:color w:val="auto"/>
          <w:sz w:val="24"/>
          <w:szCs w:val="24"/>
          <w:highlight w:val="none"/>
          <w:u w:val="none"/>
          <w:lang w:eastAsia="zh-CN"/>
        </w:rPr>
        <w:t>（</w:t>
      </w:r>
      <w:r>
        <w:rPr>
          <w:rFonts w:hint="eastAsia" w:cs="Times New Roman"/>
          <w:b w:val="0"/>
          <w:bCs w:val="0"/>
          <w:color w:val="auto"/>
          <w:sz w:val="24"/>
          <w:szCs w:val="24"/>
          <w:highlight w:val="none"/>
          <w:u w:val="none"/>
          <w:lang w:val="en-US" w:eastAsia="zh-CN"/>
        </w:rPr>
        <w:t>第二次</w:t>
      </w:r>
      <w:bookmarkStart w:id="9" w:name="_GoBack"/>
      <w:bookmarkEnd w:id="9"/>
      <w:r>
        <w:rPr>
          <w:rFonts w:hint="eastAsia" w:cs="Times New Roman"/>
          <w:b w:val="0"/>
          <w:bCs w:val="0"/>
          <w:color w:val="auto"/>
          <w:sz w:val="24"/>
          <w:szCs w:val="24"/>
          <w:highlight w:val="none"/>
          <w:u w:val="none"/>
          <w:lang w:eastAsia="zh-CN"/>
        </w:rPr>
        <w:t>）</w:t>
      </w:r>
      <w:r>
        <w:rPr>
          <w:rFonts w:hint="eastAsia" w:ascii="Times New Roman" w:hAnsi="Times New Roman" w:eastAsia="宋体" w:cs="Times New Roman"/>
          <w:color w:val="auto"/>
          <w:sz w:val="24"/>
          <w:szCs w:val="24"/>
          <w:highlight w:val="none"/>
        </w:rPr>
        <w:t>采用</w:t>
      </w:r>
      <w:r>
        <w:rPr>
          <w:rFonts w:hint="eastAsia" w:ascii="Times New Roman" w:hAnsi="Times New Roman" w:eastAsia="宋体" w:cs="Times New Roman"/>
          <w:color w:val="auto"/>
          <w:sz w:val="24"/>
          <w:szCs w:val="24"/>
          <w:highlight w:val="none"/>
          <w:lang w:eastAsia="zh-CN"/>
        </w:rPr>
        <w:t>竞价采购</w:t>
      </w:r>
      <w:r>
        <w:rPr>
          <w:rFonts w:hint="eastAsia" w:ascii="Times New Roman" w:hAnsi="Times New Roman" w:eastAsia="宋体" w:cs="Times New Roman"/>
          <w:color w:val="auto"/>
          <w:sz w:val="24"/>
          <w:szCs w:val="24"/>
          <w:highlight w:val="none"/>
        </w:rPr>
        <w:t>方式进行采购，</w:t>
      </w:r>
      <w:r>
        <w:rPr>
          <w:rFonts w:hint="eastAsia" w:ascii="Times New Roman" w:hAnsi="Times New Roman" w:eastAsia="宋体" w:cs="Times New Roman"/>
          <w:color w:val="auto"/>
          <w:kern w:val="2"/>
          <w:sz w:val="24"/>
          <w:szCs w:val="24"/>
          <w:highlight w:val="none"/>
          <w:lang w:val="en-US" w:eastAsia="zh-CN" w:bidi="ar"/>
        </w:rPr>
        <w:t>本次将遴选二名中选人，</w:t>
      </w:r>
      <w:r>
        <w:rPr>
          <w:rFonts w:hint="eastAsia" w:ascii="Times New Roman" w:hAnsi="Times New Roman" w:eastAsia="宋体" w:cs="Times New Roman"/>
          <w:color w:val="auto"/>
          <w:sz w:val="24"/>
          <w:szCs w:val="24"/>
          <w:highlight w:val="none"/>
        </w:rPr>
        <w:t>特邀请符合本次采购要求的供应商参加本项目的</w:t>
      </w:r>
      <w:bookmarkEnd w:id="5"/>
      <w:r>
        <w:rPr>
          <w:rFonts w:hint="eastAsia" w:ascii="Times New Roman" w:hAnsi="Times New Roman" w:eastAsia="宋体" w:cs="Times New Roman"/>
          <w:color w:val="auto"/>
          <w:sz w:val="24"/>
          <w:szCs w:val="24"/>
          <w:highlight w:val="none"/>
          <w:lang w:eastAsia="zh-CN"/>
        </w:rPr>
        <w:t>竞价采购</w:t>
      </w:r>
      <w:r>
        <w:rPr>
          <w:rFonts w:hint="eastAsia" w:ascii="Times New Roman" w:hAnsi="Times New Roman" w:eastAsia="宋体" w:cs="Times New Roman"/>
          <w:color w:val="auto"/>
          <w:sz w:val="24"/>
          <w:szCs w:val="24"/>
          <w:highlight w:val="none"/>
        </w:rPr>
        <w:t>。</w:t>
      </w:r>
    </w:p>
    <w:p>
      <w:pPr>
        <w:spacing w:line="360" w:lineRule="auto"/>
        <w:rPr>
          <w:b/>
          <w:color w:val="auto"/>
          <w:sz w:val="24"/>
          <w:szCs w:val="24"/>
        </w:rPr>
      </w:pPr>
      <w:r>
        <w:rPr>
          <w:rFonts w:hint="eastAsia"/>
          <w:b/>
          <w:color w:val="auto"/>
          <w:sz w:val="24"/>
          <w:szCs w:val="24"/>
          <w:lang w:val="en-US" w:eastAsia="zh-CN"/>
        </w:rPr>
        <w:t>二</w:t>
      </w:r>
      <w:r>
        <w:rPr>
          <w:rFonts w:hint="eastAsia"/>
          <w:b/>
          <w:color w:val="auto"/>
          <w:sz w:val="24"/>
          <w:szCs w:val="24"/>
        </w:rPr>
        <w:t>、采购内容：</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207"/>
        <w:gridCol w:w="3997"/>
        <w:gridCol w:w="1948"/>
        <w:gridCol w:w="136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08"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b/>
                <w:bCs/>
                <w:color w:val="auto"/>
                <w:sz w:val="24"/>
              </w:rPr>
            </w:pPr>
            <w:r>
              <w:rPr>
                <w:b/>
                <w:bCs/>
                <w:color w:val="auto"/>
                <w:sz w:val="24"/>
              </w:rPr>
              <w:t>序号</w:t>
            </w:r>
          </w:p>
        </w:tc>
        <w:tc>
          <w:tcPr>
            <w:tcW w:w="2345"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eastAsia="宋体"/>
                <w:b/>
                <w:bCs/>
                <w:color w:val="auto"/>
                <w:sz w:val="24"/>
                <w:lang w:val="en-US" w:eastAsia="zh-CN"/>
              </w:rPr>
            </w:pPr>
            <w:r>
              <w:rPr>
                <w:rFonts w:hint="eastAsia"/>
                <w:b/>
                <w:bCs/>
                <w:color w:val="auto"/>
                <w:sz w:val="24"/>
                <w:lang w:val="en-US" w:eastAsia="zh-CN"/>
              </w:rPr>
              <w:t>项目名称</w:t>
            </w:r>
          </w:p>
        </w:tc>
        <w:tc>
          <w:tcPr>
            <w:tcW w:w="1143"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b/>
                <w:bCs/>
                <w:color w:val="auto"/>
                <w:sz w:val="24"/>
              </w:rPr>
            </w:pPr>
            <w:r>
              <w:rPr>
                <w:rFonts w:hint="eastAsia"/>
                <w:b/>
                <w:bCs/>
                <w:color w:val="auto"/>
                <w:sz w:val="24"/>
                <w:lang w:eastAsia="zh"/>
              </w:rPr>
              <w:t>采购含税最高限价</w:t>
            </w:r>
          </w:p>
          <w:p>
            <w:pPr>
              <w:snapToGrid w:val="0"/>
              <w:spacing w:line="260" w:lineRule="exact"/>
              <w:ind w:left="-141" w:leftChars="-67" w:right="-109" w:rightChars="-52"/>
              <w:jc w:val="center"/>
              <w:rPr>
                <w:b/>
                <w:bCs/>
                <w:color w:val="auto"/>
                <w:sz w:val="24"/>
              </w:rPr>
            </w:pPr>
            <w:r>
              <w:rPr>
                <w:b/>
                <w:bCs/>
                <w:color w:val="auto"/>
                <w:sz w:val="24"/>
              </w:rPr>
              <w:t>（元）</w:t>
            </w:r>
          </w:p>
        </w:tc>
        <w:tc>
          <w:tcPr>
            <w:tcW w:w="802"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b/>
                <w:bCs/>
                <w:color w:val="auto"/>
                <w:sz w:val="24"/>
              </w:rPr>
            </w:pPr>
            <w:r>
              <w:rPr>
                <w:rFonts w:hint="eastAsia"/>
                <w:b/>
                <w:bCs/>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708"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b w:val="0"/>
                <w:color w:val="auto"/>
                <w:sz w:val="24"/>
              </w:rPr>
            </w:pPr>
            <w:r>
              <w:rPr>
                <w:b w:val="0"/>
                <w:color w:val="auto"/>
                <w:sz w:val="24"/>
              </w:rPr>
              <w:t>1</w:t>
            </w:r>
          </w:p>
        </w:tc>
        <w:tc>
          <w:tcPr>
            <w:tcW w:w="2345"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eastAsia="宋体"/>
                <w:b w:val="0"/>
                <w:color w:val="auto"/>
                <w:sz w:val="24"/>
                <w:lang w:eastAsia="zh-CN"/>
              </w:rPr>
            </w:pPr>
            <w:r>
              <w:rPr>
                <w:rFonts w:hint="eastAsia" w:eastAsia="宋体"/>
                <w:b w:val="0"/>
                <w:color w:val="auto"/>
                <w:sz w:val="24"/>
                <w:lang w:eastAsia="zh-CN"/>
              </w:rPr>
              <w:t>川投西昌医院婴儿奶粉采购项目</w:t>
            </w:r>
          </w:p>
          <w:p>
            <w:pPr>
              <w:snapToGrid w:val="0"/>
              <w:spacing w:line="260" w:lineRule="exact"/>
              <w:jc w:val="center"/>
              <w:rPr>
                <w:rFonts w:hint="eastAsia" w:eastAsia="宋体"/>
                <w:b w:val="0"/>
                <w:color w:val="auto"/>
                <w:sz w:val="24"/>
                <w:lang w:eastAsia="zh-CN"/>
              </w:rPr>
            </w:pPr>
            <w:r>
              <w:rPr>
                <w:rFonts w:hint="eastAsia"/>
                <w:b w:val="0"/>
                <w:color w:val="auto"/>
                <w:sz w:val="24"/>
                <w:lang w:eastAsia="zh-CN"/>
              </w:rPr>
              <w:t>（</w:t>
            </w:r>
            <w:r>
              <w:rPr>
                <w:rFonts w:hint="eastAsia"/>
                <w:b w:val="0"/>
                <w:color w:val="auto"/>
                <w:sz w:val="24"/>
                <w:lang w:val="en-US" w:eastAsia="zh-CN"/>
              </w:rPr>
              <w:t>第二次</w:t>
            </w:r>
            <w:r>
              <w:rPr>
                <w:rFonts w:hint="eastAsia"/>
                <w:b w:val="0"/>
                <w:color w:val="auto"/>
                <w:sz w:val="24"/>
                <w:lang w:eastAsia="zh-CN"/>
              </w:rPr>
              <w:t>）</w:t>
            </w:r>
          </w:p>
        </w:tc>
        <w:tc>
          <w:tcPr>
            <w:tcW w:w="1143"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ascii="Times New Roman" w:hAnsi="Times New Roman" w:eastAsia="宋体" w:cs="Times New Roman"/>
                <w:b w:val="0"/>
                <w:snapToGrid/>
                <w:color w:val="auto"/>
                <w:kern w:val="2"/>
                <w:sz w:val="24"/>
                <w:szCs w:val="20"/>
                <w:lang w:val="en-US" w:eastAsia="zh"/>
              </w:rPr>
            </w:pPr>
            <w:r>
              <w:rPr>
                <w:rFonts w:hint="eastAsia" w:ascii="Times New Roman" w:hAnsi="Times New Roman" w:eastAsia="宋体" w:cs="Times New Roman"/>
                <w:i w:val="0"/>
                <w:iCs w:val="0"/>
                <w:color w:val="auto"/>
                <w:sz w:val="24"/>
                <w:szCs w:val="20"/>
                <w:u w:val="none"/>
                <w:lang w:val="en-US" w:eastAsia="zh-CN" w:bidi="ar"/>
              </w:rPr>
              <w:t>86780</w:t>
            </w:r>
            <w:r>
              <w:rPr>
                <w:rFonts w:hint="eastAsia" w:ascii="Times New Roman" w:hAnsi="Times New Roman" w:eastAsia="宋体" w:cs="Times New Roman"/>
                <w:i w:val="0"/>
                <w:iCs w:val="0"/>
                <w:color w:val="auto"/>
                <w:sz w:val="24"/>
                <w:szCs w:val="20"/>
                <w:u w:val="none"/>
                <w:lang w:val="en-US" w:eastAsia="zh" w:bidi="ar"/>
              </w:rPr>
              <w:t>.00</w:t>
            </w:r>
          </w:p>
        </w:tc>
        <w:tc>
          <w:tcPr>
            <w:tcW w:w="802"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snapToGrid w:val="0"/>
              <w:spacing w:line="260" w:lineRule="exact"/>
              <w:jc w:val="center"/>
              <w:rPr>
                <w:rFonts w:hint="eastAsia" w:ascii="Times New Roman" w:hAnsi="Times New Roman" w:eastAsia="宋体" w:cs="Times New Roman"/>
                <w:b w:val="0"/>
                <w:snapToGrid/>
                <w:color w:val="auto"/>
                <w:kern w:val="2"/>
                <w:sz w:val="24"/>
                <w:szCs w:val="20"/>
              </w:rPr>
            </w:pPr>
            <w:r>
              <w:rPr>
                <w:rFonts w:hint="eastAsia" w:ascii="Times New Roman" w:hAnsi="Times New Roman" w:eastAsia="宋体" w:cs="Times New Roman"/>
                <w:b w:val="0"/>
                <w:snapToGrid/>
                <w:color w:val="auto"/>
                <w:kern w:val="2"/>
                <w:sz w:val="24"/>
                <w:szCs w:val="20"/>
              </w:rPr>
              <w:t>无</w:t>
            </w:r>
          </w:p>
        </w:tc>
      </w:tr>
    </w:tbl>
    <w:p>
      <w:pPr>
        <w:spacing w:line="360" w:lineRule="auto"/>
        <w:ind w:firstLine="480" w:firstLineChars="200"/>
        <w:jc w:val="left"/>
        <w:rPr>
          <w:rFonts w:hint="eastAsia"/>
          <w:color w:val="auto"/>
          <w:sz w:val="24"/>
          <w:szCs w:val="24"/>
        </w:rPr>
      </w:pPr>
      <w:r>
        <w:rPr>
          <w:rFonts w:hint="eastAsia"/>
          <w:color w:val="auto"/>
          <w:sz w:val="24"/>
          <w:szCs w:val="24"/>
        </w:rPr>
        <w:t>详见第</w:t>
      </w:r>
      <w:r>
        <w:rPr>
          <w:rFonts w:hint="eastAsia"/>
          <w:color w:val="auto"/>
          <w:sz w:val="24"/>
          <w:szCs w:val="24"/>
          <w:lang w:val="en-US" w:eastAsia="zh-CN"/>
        </w:rPr>
        <w:t>四</w:t>
      </w:r>
      <w:r>
        <w:rPr>
          <w:rFonts w:hint="eastAsia"/>
          <w:color w:val="auto"/>
          <w:sz w:val="24"/>
          <w:szCs w:val="24"/>
        </w:rPr>
        <w:t>章“采购项目技术、服务、采购合同内容条款及其他商务要求”。</w:t>
      </w:r>
    </w:p>
    <w:p>
      <w:pPr>
        <w:numPr>
          <w:ilvl w:val="0"/>
          <w:numId w:val="1"/>
        </w:numPr>
        <w:spacing w:line="360" w:lineRule="auto"/>
        <w:jc w:val="left"/>
        <w:rPr>
          <w:rFonts w:hint="eastAsia"/>
          <w:b/>
          <w:color w:val="auto"/>
          <w:sz w:val="24"/>
          <w:szCs w:val="24"/>
        </w:rPr>
      </w:pPr>
      <w:r>
        <w:rPr>
          <w:rFonts w:hint="eastAsia"/>
          <w:b/>
          <w:color w:val="auto"/>
          <w:sz w:val="24"/>
          <w:szCs w:val="24"/>
        </w:rPr>
        <w:t>供应商资格要求：</w:t>
      </w:r>
    </w:p>
    <w:p>
      <w:pPr>
        <w:spacing w:line="360" w:lineRule="auto"/>
        <w:rPr>
          <w:rFonts w:hint="eastAsia" w:ascii="Times New Roman" w:hAnsi="Times New Roman" w:eastAsia="宋体" w:cs="Times New Roman"/>
          <w:color w:val="auto"/>
          <w:sz w:val="24"/>
        </w:rPr>
      </w:pPr>
      <w:r>
        <w:rPr>
          <w:rFonts w:hint="eastAsia"/>
          <w:b/>
          <w:color w:val="auto"/>
          <w:sz w:val="24"/>
          <w:szCs w:val="24"/>
          <w:lang w:val="en-US" w:eastAsia="zh-CN"/>
        </w:rPr>
        <w:t xml:space="preserve">     </w:t>
      </w:r>
      <w:r>
        <w:rPr>
          <w:rFonts w:hint="eastAsia" w:ascii="Times New Roman" w:hAnsi="Times New Roman" w:eastAsia="宋体" w:cs="Times New Roman"/>
          <w:color w:val="auto"/>
          <w:sz w:val="24"/>
        </w:rPr>
        <w:t>1、具有独立承担民事责任能力的组织或经市场监管部门依法登记注册并存续的其他组织；</w:t>
      </w:r>
    </w:p>
    <w:p>
      <w:pPr>
        <w:ind w:firstLine="600" w:firstLineChars="25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2、具有良好的商业信誉和健全的财务会计制度；</w:t>
      </w:r>
    </w:p>
    <w:p>
      <w:pPr>
        <w:tabs>
          <w:tab w:val="left" w:pos="7665"/>
        </w:tabs>
        <w:spacing w:line="360" w:lineRule="auto"/>
        <w:ind w:firstLine="600" w:firstLineChars="25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3、具有履行合同所必须的设备和专业技术能力；</w:t>
      </w:r>
    </w:p>
    <w:p>
      <w:pPr>
        <w:tabs>
          <w:tab w:val="left" w:pos="7665"/>
        </w:tabs>
        <w:spacing w:line="360" w:lineRule="auto"/>
        <w:ind w:firstLine="600" w:firstLineChars="25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4、具有依法缴纳税收和社会保障资金的良好记录；</w:t>
      </w:r>
    </w:p>
    <w:p>
      <w:pPr>
        <w:tabs>
          <w:tab w:val="left" w:pos="7665"/>
        </w:tabs>
        <w:spacing w:line="360" w:lineRule="auto"/>
        <w:ind w:firstLine="600" w:firstLineChars="25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5、参加本次采购活动前三年内，在经营活动中没有重大违法记录；</w:t>
      </w:r>
    </w:p>
    <w:p>
      <w:pPr>
        <w:tabs>
          <w:tab w:val="left" w:pos="7665"/>
        </w:tabs>
        <w:spacing w:line="360" w:lineRule="auto"/>
        <w:ind w:firstLine="600" w:firstLineChars="25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6、法定代表人授权委托书（法定代表人或单位负责人直接参与的除外）</w:t>
      </w:r>
      <w:r>
        <w:rPr>
          <w:rFonts w:hint="eastAsia" w:ascii="Times New Roman" w:hAnsi="Times New Roman" w:eastAsia="宋体" w:cs="Times New Roman"/>
          <w:color w:val="auto"/>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7、</w:t>
      </w:r>
      <w:r>
        <w:rPr>
          <w:rFonts w:hint="eastAsia" w:ascii="Times New Roman" w:hAnsi="Times New Roman" w:eastAsia="宋体" w:cs="Times New Roman"/>
          <w:color w:val="auto"/>
          <w:sz w:val="24"/>
        </w:rPr>
        <w:t>在行贿犯罪信息查询期限内，</w:t>
      </w:r>
      <w:r>
        <w:rPr>
          <w:rFonts w:hint="eastAsia" w:ascii="Times New Roman" w:hAnsi="Times New Roman" w:eastAsia="宋体" w:cs="Times New Roman"/>
          <w:color w:val="auto"/>
          <w:sz w:val="24"/>
          <w:lang w:val="en-US" w:eastAsia="zh-CN"/>
        </w:rPr>
        <w:t>供应商</w:t>
      </w:r>
      <w:r>
        <w:rPr>
          <w:rFonts w:hint="eastAsia" w:ascii="Times New Roman" w:hAnsi="Times New Roman" w:eastAsia="宋体" w:cs="Times New Roman"/>
          <w:color w:val="auto"/>
          <w:sz w:val="24"/>
        </w:rPr>
        <w:t>及其现任法定代表人、主要负责人没有行贿犯罪记录</w:t>
      </w:r>
      <w:r>
        <w:rPr>
          <w:rFonts w:hint="eastAsia" w:ascii="Times New Roman" w:hAnsi="Times New Roman" w:eastAsia="宋体" w:cs="Times New Roman"/>
          <w:color w:val="auto"/>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8、供应商</w:t>
      </w:r>
      <w:r>
        <w:rPr>
          <w:rFonts w:hint="eastAsia" w:ascii="Times New Roman" w:hAnsi="Times New Roman" w:eastAsia="宋体" w:cs="Times New Roman"/>
          <w:color w:val="auto"/>
          <w:sz w:val="24"/>
        </w:rPr>
        <w:t>未被“信用中国”列入失信被执行人名单、经营（活动）异常名录、严重失信主体名单</w:t>
      </w:r>
      <w:r>
        <w:rPr>
          <w:rFonts w:hint="eastAsia" w:ascii="Times New Roman" w:hAnsi="Times New Roman" w:eastAsia="宋体" w:cs="Times New Roman"/>
          <w:color w:val="auto"/>
          <w:sz w:val="24"/>
          <w:lang w:eastAsia="zh"/>
        </w:rPr>
        <w:t>。</w:t>
      </w:r>
    </w:p>
    <w:p>
      <w:pPr>
        <w:spacing w:line="360" w:lineRule="auto"/>
        <w:jc w:val="left"/>
        <w:rPr>
          <w:rFonts w:hint="eastAsia"/>
          <w:b/>
          <w:color w:val="auto"/>
          <w:sz w:val="24"/>
          <w:szCs w:val="24"/>
        </w:rPr>
      </w:pPr>
      <w:bookmarkStart w:id="6" w:name="_Toc271795056"/>
      <w:bookmarkStart w:id="7" w:name="_Toc271795176"/>
      <w:r>
        <w:rPr>
          <w:rFonts w:hint="eastAsia"/>
          <w:b/>
          <w:color w:val="auto"/>
          <w:sz w:val="24"/>
          <w:szCs w:val="24"/>
          <w:lang w:val="en-US" w:eastAsia="zh-CN"/>
        </w:rPr>
        <w:t>四</w:t>
      </w:r>
      <w:r>
        <w:rPr>
          <w:rFonts w:hint="eastAsia"/>
          <w:b/>
          <w:color w:val="auto"/>
          <w:sz w:val="24"/>
          <w:szCs w:val="24"/>
        </w:rPr>
        <w:t>、采购文件的</w:t>
      </w:r>
      <w:r>
        <w:rPr>
          <w:rFonts w:hint="eastAsia"/>
          <w:b/>
          <w:color w:val="auto"/>
          <w:sz w:val="24"/>
          <w:szCs w:val="24"/>
          <w:lang w:val="en-US" w:eastAsia="zh-CN"/>
        </w:rPr>
        <w:t>获取</w:t>
      </w:r>
      <w:r>
        <w:rPr>
          <w:rFonts w:hint="eastAsia"/>
          <w:b/>
          <w:color w:val="auto"/>
          <w:sz w:val="24"/>
          <w:szCs w:val="24"/>
        </w:rPr>
        <w:t>：</w:t>
      </w:r>
      <w:bookmarkEnd w:id="6"/>
      <w:bookmarkEnd w:id="7"/>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1、</w:t>
      </w:r>
      <w:r>
        <w:rPr>
          <w:rFonts w:hint="eastAsia" w:ascii="Times" w:hAnsi="Times" w:eastAsia="宋体" w:cs="Times New Roman"/>
          <w:i w:val="0"/>
          <w:iCs w:val="0"/>
          <w:caps w:val="0"/>
          <w:color w:val="auto"/>
          <w:spacing w:val="0"/>
          <w:sz w:val="24"/>
          <w:szCs w:val="24"/>
          <w:highlight w:val="none"/>
          <w:shd w:val="clear" w:color="auto" w:fill="auto"/>
        </w:rPr>
        <w:t>获取时间</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auto"/>
          <w:spacing w:val="0"/>
          <w:sz w:val="24"/>
          <w:szCs w:val="24"/>
          <w:highlight w:val="none"/>
          <w:u w:val="none"/>
          <w:shd w:val="clear" w:color="auto" w:fill="auto"/>
        </w:rPr>
        <w:t>202</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auto"/>
          <w:spacing w:val="0"/>
          <w:sz w:val="24"/>
          <w:szCs w:val="24"/>
          <w:highlight w:val="none"/>
          <w:shd w:val="clear" w:color="auto" w:fill="auto"/>
        </w:rPr>
        <w:t>年</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auto"/>
          <w:spacing w:val="0"/>
          <w:sz w:val="24"/>
          <w:szCs w:val="24"/>
          <w:highlight w:val="none"/>
          <w:shd w:val="clear" w:color="auto" w:fill="auto"/>
        </w:rPr>
        <w:t>月</w:t>
      </w:r>
      <w:r>
        <w:rPr>
          <w:rFonts w:hint="eastAsia" w:ascii="Times" w:hAnsi="Times" w:eastAsia="宋体" w:cs="Times New Roman"/>
          <w:b w:val="0"/>
          <w:bCs w:val="0"/>
          <w:i w:val="0"/>
          <w:iCs w:val="0"/>
          <w:caps w:val="0"/>
          <w:color w:val="auto"/>
          <w:spacing w:val="0"/>
          <w:sz w:val="24"/>
          <w:szCs w:val="24"/>
          <w:highlight w:val="none"/>
          <w:shd w:val="clear" w:color="auto" w:fill="auto"/>
          <w:lang w:val="en-US" w:eastAsia="zh-CN"/>
        </w:rPr>
        <w:t>21</w:t>
      </w:r>
      <w:r>
        <w:rPr>
          <w:rFonts w:hint="eastAsia" w:ascii="Times" w:hAnsi="Times" w:eastAsia="宋体" w:cs="Times New Roman"/>
          <w:b w:val="0"/>
          <w:bCs w:val="0"/>
          <w:i w:val="0"/>
          <w:iCs w:val="0"/>
          <w:caps w:val="0"/>
          <w:color w:val="auto"/>
          <w:spacing w:val="0"/>
          <w:sz w:val="24"/>
          <w:szCs w:val="24"/>
          <w:highlight w:val="none"/>
          <w:shd w:val="clear" w:color="auto" w:fill="auto"/>
        </w:rPr>
        <w:t>日</w:t>
      </w:r>
      <w:r>
        <w:rPr>
          <w:rFonts w:hint="eastAsia" w:ascii="Times" w:hAnsi="Times" w:eastAsia="宋体" w:cs="Times New Roman"/>
          <w:b w:val="0"/>
          <w:bCs w:val="0"/>
          <w:i w:val="0"/>
          <w:iCs w:val="0"/>
          <w:caps w:val="0"/>
          <w:color w:val="auto"/>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auto"/>
          <w:spacing w:val="0"/>
          <w:sz w:val="24"/>
          <w:szCs w:val="24"/>
          <w:highlight w:val="none"/>
          <w:shd w:val="clear" w:color="auto" w:fill="auto"/>
        </w:rPr>
        <w:t>至</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auto"/>
          <w:spacing w:val="0"/>
          <w:sz w:val="24"/>
          <w:szCs w:val="24"/>
          <w:highlight w:val="none"/>
          <w:shd w:val="clear" w:color="auto" w:fill="auto"/>
        </w:rPr>
        <w:t>月</w:t>
      </w:r>
      <w:r>
        <w:rPr>
          <w:rFonts w:hint="eastAsia" w:ascii="Times" w:hAnsi="Times" w:eastAsia="宋体" w:cs="Times New Roman"/>
          <w:b w:val="0"/>
          <w:bCs w:val="0"/>
          <w:i w:val="0"/>
          <w:iCs w:val="0"/>
          <w:caps w:val="0"/>
          <w:color w:val="auto"/>
          <w:spacing w:val="0"/>
          <w:sz w:val="24"/>
          <w:szCs w:val="24"/>
          <w:highlight w:val="none"/>
          <w:shd w:val="clear" w:color="auto" w:fill="auto"/>
          <w:lang w:val="en-US" w:eastAsia="zh-CN"/>
        </w:rPr>
        <w:t>23</w:t>
      </w:r>
      <w:r>
        <w:rPr>
          <w:rFonts w:hint="eastAsia" w:ascii="Times" w:hAnsi="Times" w:eastAsia="宋体" w:cs="Times New Roman"/>
          <w:b w:val="0"/>
          <w:bCs w:val="0"/>
          <w:i w:val="0"/>
          <w:iCs w:val="0"/>
          <w:caps w:val="0"/>
          <w:color w:val="auto"/>
          <w:spacing w:val="0"/>
          <w:sz w:val="24"/>
          <w:szCs w:val="24"/>
          <w:highlight w:val="none"/>
          <w:shd w:val="clear" w:color="auto" w:fill="auto"/>
        </w:rPr>
        <w:t>日</w:t>
      </w:r>
      <w:r>
        <w:rPr>
          <w:rFonts w:hint="eastAsia" w:ascii="Times" w:hAnsi="Times" w:eastAsia="宋体" w:cs="Times New Roman"/>
          <w:b w:val="0"/>
          <w:bCs w:val="0"/>
          <w:i w:val="0"/>
          <w:iCs w:val="0"/>
          <w:caps w:val="0"/>
          <w:color w:val="auto"/>
          <w:spacing w:val="0"/>
          <w:sz w:val="24"/>
          <w:szCs w:val="24"/>
          <w:highlight w:val="none"/>
          <w:u w:val="none"/>
          <w:shd w:val="clear" w:color="auto" w:fill="auto"/>
        </w:rPr>
        <w:t>17</w:t>
      </w:r>
      <w:r>
        <w:rPr>
          <w:rFonts w:hint="eastAsia" w:ascii="Times" w:hAnsi="Times" w:eastAsia="宋体" w:cs="Times New Roman"/>
          <w:b w:val="0"/>
          <w:bCs w:val="0"/>
          <w:i w:val="0"/>
          <w:iCs w:val="0"/>
          <w:caps w:val="0"/>
          <w:color w:val="auto"/>
          <w:spacing w:val="0"/>
          <w:sz w:val="24"/>
          <w:szCs w:val="24"/>
          <w:highlight w:val="none"/>
          <w:shd w:val="clear" w:color="auto" w:fill="auto"/>
        </w:rPr>
        <w:t>时</w:t>
      </w:r>
      <w:r>
        <w:rPr>
          <w:rFonts w:hint="eastAsia" w:ascii="Times" w:hAnsi="Times" w:eastAsia="宋体" w:cs="Times New Roman"/>
          <w:b w:val="0"/>
          <w:bCs w:val="0"/>
          <w:i w:val="0"/>
          <w:iCs w:val="0"/>
          <w:caps w:val="0"/>
          <w:color w:val="auto"/>
          <w:spacing w:val="0"/>
          <w:sz w:val="24"/>
          <w:szCs w:val="24"/>
          <w:highlight w:val="none"/>
          <w:u w:val="none"/>
          <w:shd w:val="clear" w:color="auto" w:fill="auto"/>
        </w:rPr>
        <w:t>00</w:t>
      </w:r>
      <w:r>
        <w:rPr>
          <w:rFonts w:hint="eastAsia" w:ascii="Times" w:hAnsi="Times" w:eastAsia="宋体" w:cs="Times New Roman"/>
          <w:b w:val="0"/>
          <w:bCs w:val="0"/>
          <w:i w:val="0"/>
          <w:iCs w:val="0"/>
          <w:caps w:val="0"/>
          <w:color w:val="auto"/>
          <w:spacing w:val="0"/>
          <w:sz w:val="24"/>
          <w:szCs w:val="24"/>
          <w:highlight w:val="none"/>
          <w:shd w:val="clear" w:color="auto" w:fill="auto"/>
        </w:rPr>
        <w:t>分</w:t>
      </w:r>
      <w:r>
        <w:rPr>
          <w:rFonts w:hint="eastAsia" w:ascii="Times" w:hAnsi="Times" w:eastAsia="宋体" w:cs="Times New Roman"/>
          <w:i w:val="0"/>
          <w:iCs w:val="0"/>
          <w:caps w:val="0"/>
          <w:color w:val="auto"/>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宋体" w:hAnsi="宋体" w:eastAsia="宋体" w:cs="宋体"/>
          <w:color w:val="auto"/>
          <w:sz w:val="24"/>
          <w:szCs w:val="24"/>
          <w:highlight w:val="none"/>
          <w:lang w:val="zh-CN"/>
        </w:rPr>
        <w:t>潜在响应人在四川能源天府阳光采购服务平台取得采购文件后决定参加本项目的，需在响应文件递交截止时间前进行报名。报名时须提供以下资料并发送至</w:t>
      </w:r>
      <w:r>
        <w:rPr>
          <w:rFonts w:hint="eastAsia" w:ascii="宋体" w:hAnsi="宋体" w:eastAsia="宋体" w:cs="宋体"/>
          <w:color w:val="auto"/>
          <w:sz w:val="24"/>
          <w:szCs w:val="24"/>
          <w:highlight w:val="none"/>
          <w:lang w:val="en-US" w:eastAsia="zh-CN"/>
        </w:rPr>
        <w:t>采购人邮箱</w:t>
      </w:r>
      <w:r>
        <w:rPr>
          <w:rFonts w:hint="eastAsia" w:ascii="宋体" w:hAnsi="宋体" w:eastAsia="宋体" w:cs="宋体"/>
          <w:color w:val="auto"/>
          <w:sz w:val="24"/>
          <w:szCs w:val="24"/>
          <w:highlight w:val="none"/>
          <w:lang w:val="zh-CN"/>
        </w:rPr>
        <w:t>TZB0834@126.com。</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（1）经办人介绍信或法定代表人授权委托书加盖公章。</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（2）经办人及法人身份证复印件加盖公章。</w:t>
      </w:r>
    </w:p>
    <w:p>
      <w:pPr>
        <w:numPr>
          <w:ilvl w:val="0"/>
          <w:numId w:val="0"/>
        </w:numPr>
        <w:spacing w:line="550" w:lineRule="exact"/>
        <w:ind w:firstLine="480" w:firstLineChars="200"/>
        <w:rPr>
          <w:rFonts w:hint="eastAsia" w:ascii="Times" w:hAnsi="Times" w:eastAsia="宋体" w:cs="Times New Roman"/>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zh-CN"/>
        </w:rPr>
        <w:t>若提供的资格证明文件不全或不实，将导致其资格被取消。未按上述要求获取文件及报名的，递交的响应文件将不予接收。</w:t>
      </w:r>
    </w:p>
    <w:p>
      <w:pPr>
        <w:spacing w:line="360" w:lineRule="auto"/>
        <w:rPr>
          <w:rFonts w:hint="eastAsia"/>
          <w:b/>
          <w:color w:val="auto"/>
          <w:sz w:val="24"/>
          <w:szCs w:val="24"/>
        </w:rPr>
      </w:pPr>
      <w:r>
        <w:rPr>
          <w:rFonts w:hint="eastAsia"/>
          <w:b/>
          <w:color w:val="auto"/>
          <w:sz w:val="24"/>
          <w:szCs w:val="24"/>
          <w:lang w:val="en-US" w:eastAsia="zh-CN"/>
        </w:rPr>
        <w:t>五</w:t>
      </w:r>
      <w:r>
        <w:rPr>
          <w:rFonts w:hint="eastAsia"/>
          <w:b/>
          <w:color w:val="auto"/>
          <w:sz w:val="24"/>
          <w:szCs w:val="24"/>
        </w:rPr>
        <w:t>、响应文件递交截止时间：</w:t>
      </w:r>
      <w:r>
        <w:rPr>
          <w:rFonts w:hint="eastAsia"/>
          <w:b/>
          <w:color w:val="auto"/>
          <w:sz w:val="24"/>
          <w:szCs w:val="24"/>
          <w:highlight w:val="none"/>
          <w:lang w:eastAsia="zh-CN"/>
        </w:rPr>
        <w:t>2026年</w:t>
      </w:r>
      <w:r>
        <w:rPr>
          <w:rFonts w:hint="eastAsia"/>
          <w:b/>
          <w:color w:val="auto"/>
          <w:sz w:val="24"/>
          <w:szCs w:val="24"/>
          <w:highlight w:val="none"/>
          <w:lang w:val="en-US" w:eastAsia="zh-CN"/>
        </w:rPr>
        <w:t>07</w:t>
      </w:r>
      <w:r>
        <w:rPr>
          <w:rFonts w:hint="eastAsia"/>
          <w:b/>
          <w:color w:val="auto"/>
          <w:sz w:val="24"/>
          <w:szCs w:val="24"/>
          <w:highlight w:val="none"/>
          <w:lang w:eastAsia="zh-CN"/>
        </w:rPr>
        <w:t>月</w:t>
      </w:r>
      <w:r>
        <w:rPr>
          <w:rFonts w:hint="eastAsia"/>
          <w:b/>
          <w:color w:val="auto"/>
          <w:sz w:val="24"/>
          <w:szCs w:val="24"/>
          <w:highlight w:val="none"/>
          <w:lang w:eastAsia="zh"/>
        </w:rPr>
        <w:t>2</w:t>
      </w:r>
      <w:r>
        <w:rPr>
          <w:rFonts w:hint="eastAsia"/>
          <w:b/>
          <w:color w:val="auto"/>
          <w:sz w:val="24"/>
          <w:szCs w:val="24"/>
          <w:highlight w:val="none"/>
          <w:lang w:val="en-US" w:eastAsia="zh-CN"/>
        </w:rPr>
        <w:t>4</w:t>
      </w:r>
      <w:r>
        <w:rPr>
          <w:rFonts w:hint="eastAsia"/>
          <w:b/>
          <w:color w:val="auto"/>
          <w:sz w:val="24"/>
          <w:szCs w:val="24"/>
          <w:highlight w:val="none"/>
        </w:rPr>
        <w:t>日</w:t>
      </w:r>
      <w:r>
        <w:rPr>
          <w:rFonts w:hint="eastAsia"/>
          <w:b/>
          <w:color w:val="auto"/>
          <w:sz w:val="24"/>
          <w:szCs w:val="24"/>
          <w:highlight w:val="none"/>
          <w:lang w:eastAsia="zh"/>
        </w:rPr>
        <w:t>下午15</w:t>
      </w:r>
      <w:r>
        <w:rPr>
          <w:rFonts w:hint="eastAsia"/>
          <w:b/>
          <w:color w:val="auto"/>
          <w:sz w:val="24"/>
          <w:szCs w:val="24"/>
          <w:highlight w:val="none"/>
        </w:rPr>
        <w:t>:</w:t>
      </w:r>
      <w:r>
        <w:rPr>
          <w:rFonts w:hint="eastAsia"/>
          <w:b/>
          <w:color w:val="auto"/>
          <w:sz w:val="24"/>
          <w:szCs w:val="24"/>
          <w:highlight w:val="none"/>
          <w:lang w:val="en-US" w:eastAsia="zh-CN"/>
        </w:rPr>
        <w:t>0</w:t>
      </w:r>
      <w:r>
        <w:rPr>
          <w:rFonts w:hint="eastAsia"/>
          <w:b/>
          <w:color w:val="auto"/>
          <w:sz w:val="24"/>
          <w:szCs w:val="24"/>
          <w:highlight w:val="none"/>
        </w:rPr>
        <w:t>0分（北京时间）</w:t>
      </w:r>
      <w:r>
        <w:rPr>
          <w:rFonts w:hint="eastAsia"/>
          <w:b/>
          <w:color w:val="auto"/>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r>
        <w:rPr>
          <w:rFonts w:hint="eastAsia"/>
          <w:b/>
          <w:color w:val="auto"/>
          <w:sz w:val="24"/>
          <w:szCs w:val="24"/>
        </w:rPr>
        <w:t>。</w:t>
      </w:r>
    </w:p>
    <w:p>
      <w:pPr>
        <w:spacing w:line="360" w:lineRule="auto"/>
        <w:rPr>
          <w:rFonts w:hint="eastAsia"/>
          <w:color w:val="auto"/>
          <w:sz w:val="24"/>
          <w:szCs w:val="24"/>
        </w:rPr>
      </w:pPr>
      <w:r>
        <w:rPr>
          <w:rFonts w:hint="eastAsia"/>
          <w:b/>
          <w:color w:val="auto"/>
          <w:sz w:val="24"/>
          <w:szCs w:val="24"/>
          <w:lang w:val="en-US" w:eastAsia="zh-CN"/>
        </w:rPr>
        <w:t>六</w:t>
      </w:r>
      <w:r>
        <w:rPr>
          <w:rFonts w:hint="eastAsia"/>
          <w:b/>
          <w:color w:val="auto"/>
          <w:sz w:val="24"/>
          <w:szCs w:val="24"/>
        </w:rPr>
        <w:t>、响应文件递交地点：</w:t>
      </w:r>
      <w:r>
        <w:rPr>
          <w:rFonts w:hint="eastAsia" w:ascii="Times New Roman" w:hAnsi="Times New Roman" w:eastAsia="宋体" w:cs="Times New Roman"/>
          <w:b/>
          <w:color w:val="auto"/>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b/>
          <w:color w:val="auto"/>
          <w:sz w:val="24"/>
          <w:szCs w:val="24"/>
        </w:rPr>
        <w:t>。</w:t>
      </w:r>
    </w:p>
    <w:p>
      <w:pPr>
        <w:tabs>
          <w:tab w:val="left" w:pos="1050"/>
          <w:tab w:val="center" w:pos="4563"/>
        </w:tabs>
        <w:spacing w:line="360" w:lineRule="auto"/>
        <w:ind w:firstLine="480" w:firstLineChars="200"/>
        <w:jc w:val="left"/>
        <w:rPr>
          <w:rFonts w:hint="eastAsia"/>
          <w:color w:val="auto"/>
          <w:sz w:val="24"/>
          <w:szCs w:val="24"/>
        </w:rPr>
      </w:pPr>
      <w:r>
        <w:rPr>
          <w:rFonts w:hint="eastAsia"/>
          <w:color w:val="auto"/>
          <w:sz w:val="24"/>
          <w:szCs w:val="24"/>
        </w:rPr>
        <w:t>响应文件必须在《</w:t>
      </w:r>
      <w:r>
        <w:rPr>
          <w:rFonts w:hint="eastAsia"/>
          <w:color w:val="auto"/>
          <w:sz w:val="24"/>
          <w:szCs w:val="24"/>
          <w:lang w:val="en-US" w:eastAsia="zh-CN"/>
        </w:rPr>
        <w:t>竞价采购文件</w:t>
      </w:r>
      <w:r>
        <w:rPr>
          <w:rFonts w:hint="eastAsia"/>
          <w:color w:val="auto"/>
          <w:sz w:val="24"/>
          <w:szCs w:val="24"/>
        </w:rPr>
        <w:t>》中所规定的截止时间前送达规定的地点。逾期送达的《响应文件》恕不接收。本次</w:t>
      </w:r>
      <w:r>
        <w:rPr>
          <w:rFonts w:hint="eastAsia"/>
          <w:color w:val="auto"/>
          <w:sz w:val="24"/>
          <w:szCs w:val="24"/>
          <w:lang w:eastAsia="zh-CN"/>
        </w:rPr>
        <w:t>采购</w:t>
      </w:r>
      <w:r>
        <w:rPr>
          <w:rFonts w:hint="eastAsia"/>
          <w:color w:val="auto"/>
          <w:sz w:val="24"/>
          <w:szCs w:val="24"/>
          <w:lang w:val="en-US" w:eastAsia="zh-CN"/>
        </w:rPr>
        <w:t>响应</w:t>
      </w:r>
      <w:r>
        <w:rPr>
          <w:rFonts w:hint="eastAsia"/>
          <w:color w:val="auto"/>
          <w:sz w:val="24"/>
          <w:szCs w:val="24"/>
        </w:rPr>
        <w:t>文件不接受邮寄。</w:t>
      </w:r>
    </w:p>
    <w:p>
      <w:pPr>
        <w:keepNext w:val="0"/>
        <w:keepLines w:val="0"/>
        <w:widowControl w:val="0"/>
        <w:suppressLineNumbers w:val="0"/>
        <w:spacing w:before="0" w:beforeAutospacing="0" w:after="0" w:afterAutospacing="0" w:line="360" w:lineRule="auto"/>
        <w:ind w:left="0" w:right="105" w:rightChars="50"/>
        <w:jc w:val="left"/>
        <w:rPr>
          <w:rFonts w:hint="eastAsia" w:ascii="宋体" w:hAnsi="宋体" w:eastAsia="宋体" w:cs="宋体"/>
          <w:kern w:val="44"/>
          <w:sz w:val="24"/>
          <w:szCs w:val="24"/>
        </w:rPr>
      </w:pPr>
      <w:r>
        <w:rPr>
          <w:rFonts w:hint="eastAsia" w:ascii="宋体" w:hAnsi="宋体" w:eastAsia="宋体" w:cs="宋体"/>
          <w:b/>
          <w:bCs w:val="0"/>
          <w:kern w:val="2"/>
          <w:sz w:val="24"/>
          <w:szCs w:val="24"/>
          <w:lang w:val="en-US" w:eastAsia="zh-CN" w:bidi="ar"/>
        </w:rPr>
        <w:t>七、其他</w:t>
      </w:r>
      <w:r>
        <w:rPr>
          <w:rFonts w:hint="eastAsia" w:ascii="宋体" w:hAnsi="宋体" w:eastAsia="宋体" w:cs="宋体"/>
          <w:kern w:val="44"/>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、四川能源天府阳光采购服务平台为本项目报名的唯一渠道，未按上述渠道获取文件均属无效，递交的投标文件将不予接收。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、核查获取采购文件</w:t>
      </w:r>
      <w:r>
        <w:rPr>
          <w:rFonts w:hint="default" w:ascii="Times New Roman" w:hAnsi="Times New Roman" w:eastAsia="宋体" w:cs="Times New Roman"/>
          <w:kern w:val="2"/>
          <w:sz w:val="24"/>
          <w:szCs w:val="24"/>
          <w:lang w:val="en-US" w:eastAsia="zh-CN" w:bidi="ar"/>
        </w:rPr>
        <w:t>IP</w:t>
      </w:r>
      <w:r>
        <w:rPr>
          <w:rFonts w:hint="eastAsia" w:ascii="宋体" w:hAnsi="宋体" w:eastAsia="宋体" w:cs="宋体"/>
          <w:kern w:val="2"/>
          <w:sz w:val="24"/>
          <w:szCs w:val="24"/>
          <w:lang w:val="en-US" w:eastAsia="zh-CN" w:bidi="ar"/>
        </w:rPr>
        <w:t>地址是否一致，若一致且投标人澄清内容评标专家未予认可的，其递交的投标文件无效。</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、核查各投标人是否存在关联关系，若有关联关系，其递交的投标无效。（存在关联关系是指：投标人与参加本项目投标的其他投标人之间存在单位负责人为同一人，存在直接控股、管理关系。）</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Times New Roman" w:hAnsi="Times New Roman" w:eastAsia="宋体" w:cs="Times New Roman"/>
          <w:b w:val="0"/>
          <w:kern w:val="2"/>
          <w:sz w:val="24"/>
          <w:szCs w:val="24"/>
        </w:rPr>
      </w:pPr>
      <w:r>
        <w:rPr>
          <w:rFonts w:hint="eastAsia" w:ascii="宋体" w:hAnsi="宋体" w:eastAsia="宋体" w:cs="宋体"/>
          <w:b/>
          <w:bCs/>
          <w:kern w:val="2"/>
          <w:sz w:val="24"/>
          <w:szCs w:val="24"/>
          <w:lang w:val="en-US" w:eastAsia="zh-CN" w:bidi="ar"/>
        </w:rPr>
        <w:t>注：上述均在开标时进行核查。</w:t>
      </w:r>
    </w:p>
    <w:p>
      <w:pPr>
        <w:numPr>
          <w:ilvl w:val="0"/>
          <w:numId w:val="0"/>
        </w:numPr>
        <w:spacing w:line="560" w:lineRule="exact"/>
        <w:ind w:firstLine="0"/>
        <w:rPr>
          <w:rFonts w:hint="default" w:ascii="宋体" w:hAnsi="宋体" w:eastAsia="宋体" w:cs="宋体"/>
          <w:b/>
          <w:bCs/>
          <w:color w:val="auto"/>
          <w:sz w:val="24"/>
          <w:szCs w:val="24"/>
          <w:highlight w:val="none"/>
          <w:lang w:val="en-US"/>
        </w:rPr>
      </w:pPr>
      <w:r>
        <w:rPr>
          <w:rFonts w:hint="eastAsia" w:ascii="Times New Roman" w:hAnsi="Times New Roman" w:eastAsia="宋体" w:cs="Times New Roman"/>
          <w:b/>
          <w:color w:val="auto"/>
          <w:sz w:val="24"/>
          <w:szCs w:val="24"/>
          <w:lang w:val="en-US" w:eastAsia="zh"/>
        </w:rPr>
        <w:t>八</w:t>
      </w:r>
      <w:r>
        <w:rPr>
          <w:rFonts w:hint="eastAsia" w:ascii="Times New Roman" w:hAnsi="Times New Roman" w:eastAsia="宋体" w:cs="Times New Roman"/>
          <w:b/>
          <w:color w:val="auto"/>
          <w:sz w:val="24"/>
          <w:szCs w:val="24"/>
          <w:lang w:val="en-US" w:eastAsia="zh-CN"/>
        </w:rPr>
        <w:t>、</w:t>
      </w:r>
      <w:r>
        <w:rPr>
          <w:rFonts w:hint="eastAsia" w:ascii="宋体" w:hAnsi="宋体" w:eastAsia="宋体" w:cs="宋体"/>
          <w:b/>
          <w:bCs/>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bookmarkStart w:id="8" w:name="OLE_LINK1"/>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color w:val="auto"/>
          <w:sz w:val="24"/>
          <w:szCs w:val="24"/>
          <w:highlight w:val="none"/>
          <w:u w:val="none"/>
          <w:lang w:val="zh-CN"/>
        </w:rPr>
      </w:pPr>
      <w:r>
        <w:rPr>
          <w:rStyle w:val="12"/>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bookmarkEnd w:id="8"/>
    <w:p>
      <w:pPr>
        <w:spacing w:line="360" w:lineRule="auto"/>
        <w:rPr>
          <w:b/>
          <w:color w:val="auto"/>
          <w:sz w:val="24"/>
          <w:szCs w:val="24"/>
        </w:rPr>
      </w:pPr>
      <w:r>
        <w:rPr>
          <w:rFonts w:hint="eastAsia"/>
          <w:b/>
          <w:color w:val="auto"/>
          <w:sz w:val="24"/>
          <w:szCs w:val="24"/>
          <w:lang w:val="en-US" w:eastAsia="zh"/>
        </w:rPr>
        <w:t>九</w:t>
      </w:r>
      <w:r>
        <w:rPr>
          <w:rFonts w:hint="eastAsia"/>
          <w:b/>
          <w:color w:val="auto"/>
          <w:sz w:val="24"/>
          <w:szCs w:val="24"/>
        </w:rPr>
        <w:t>、联系方式：</w:t>
      </w:r>
    </w:p>
    <w:p>
      <w:pPr>
        <w:spacing w:line="360" w:lineRule="auto"/>
        <w:ind w:left="424" w:leftChars="202" w:firstLine="1"/>
        <w:rPr>
          <w:rFonts w:hint="eastAsia" w:eastAsia="宋体"/>
          <w:b w:val="0"/>
          <w:bCs/>
          <w:color w:val="auto"/>
          <w:sz w:val="24"/>
          <w:szCs w:val="24"/>
          <w:lang w:eastAsia="zh-CN"/>
        </w:rPr>
      </w:pPr>
      <w:r>
        <w:rPr>
          <w:rFonts w:hint="eastAsia"/>
          <w:b w:val="0"/>
          <w:bCs/>
          <w:color w:val="auto"/>
          <w:sz w:val="24"/>
          <w:szCs w:val="24"/>
        </w:rPr>
        <w:t>采 购 人：</w:t>
      </w:r>
      <w:r>
        <w:rPr>
          <w:rStyle w:val="12"/>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eastAsia="宋体"/>
          <w:color w:val="auto"/>
          <w:sz w:val="24"/>
          <w:szCs w:val="24"/>
          <w:lang w:eastAsia="zh-CN"/>
        </w:rPr>
      </w:pPr>
      <w:r>
        <w:rPr>
          <w:rFonts w:hint="eastAsia"/>
          <w:color w:val="auto"/>
          <w:sz w:val="24"/>
          <w:szCs w:val="24"/>
        </w:rPr>
        <w:t>地    址：</w:t>
      </w:r>
      <w:r>
        <w:rPr>
          <w:rStyle w:val="12"/>
          <w:rFonts w:hint="eastAsia" w:ascii="Times New Roman" w:hAnsi="Times New Roman" w:eastAsia="宋体" w:cs="Times New Roman"/>
          <w:bCs/>
          <w:color w:val="auto"/>
          <w:sz w:val="24"/>
          <w:szCs w:val="24"/>
          <w:highlight w:val="none"/>
          <w:u w:val="none"/>
          <w:lang w:val="zh-CN"/>
        </w:rPr>
        <w:t>西昌市朝阳东路 1 号川投西昌医院</w:t>
      </w:r>
      <w:r>
        <w:rPr>
          <w:rFonts w:hint="eastAsia" w:ascii="Times New Roman" w:hAnsi="Times New Roman" w:eastAsia="宋体" w:cs="Times New Roman"/>
          <w:bCs/>
          <w:color w:val="auto"/>
          <w:sz w:val="24"/>
          <w:szCs w:val="24"/>
          <w:lang w:val="zh-CN" w:eastAsia="zh-CN"/>
        </w:rPr>
        <w:t xml:space="preserve"> </w:t>
      </w:r>
    </w:p>
    <w:p>
      <w:pPr>
        <w:tabs>
          <w:tab w:val="center" w:pos="4563"/>
        </w:tabs>
        <w:spacing w:line="360" w:lineRule="auto"/>
        <w:ind w:firstLine="424" w:firstLineChars="177"/>
        <w:jc w:val="left"/>
        <w:rPr>
          <w:rFonts w:hint="default"/>
          <w:color w:val="auto"/>
          <w:sz w:val="24"/>
          <w:szCs w:val="24"/>
          <w:lang w:val="en-US"/>
        </w:rPr>
      </w:pPr>
      <w:r>
        <w:rPr>
          <w:rFonts w:hint="eastAsia"/>
          <w:color w:val="auto"/>
          <w:sz w:val="24"/>
          <w:szCs w:val="24"/>
        </w:rPr>
        <w:t>联 系 人：</w:t>
      </w:r>
      <w:r>
        <w:rPr>
          <w:rFonts w:hint="eastAsia"/>
          <w:color w:val="auto"/>
          <w:sz w:val="24"/>
          <w:szCs w:val="24"/>
          <w:lang w:val="en-US" w:eastAsia="zh-CN"/>
        </w:rPr>
        <w:t xml:space="preserve"> 杨老师</w:t>
      </w:r>
    </w:p>
    <w:p>
      <w:pPr>
        <w:tabs>
          <w:tab w:val="center" w:pos="4563"/>
        </w:tabs>
        <w:spacing w:line="360" w:lineRule="auto"/>
        <w:ind w:firstLine="424" w:firstLineChars="177"/>
        <w:jc w:val="left"/>
        <w:rPr>
          <w:rFonts w:hint="eastAsia" w:eastAsia="宋体"/>
          <w:color w:val="auto"/>
          <w:sz w:val="24"/>
          <w:szCs w:val="24"/>
          <w:lang w:val="en-US" w:eastAsia="zh-CN"/>
        </w:rPr>
      </w:pPr>
      <w:r>
        <w:rPr>
          <w:rFonts w:hint="eastAsia"/>
          <w:color w:val="auto"/>
          <w:sz w:val="24"/>
          <w:szCs w:val="24"/>
        </w:rPr>
        <w:t>联系电话：</w:t>
      </w:r>
      <w:r>
        <w:rPr>
          <w:rStyle w:val="12"/>
          <w:rFonts w:hint="eastAsia" w:ascii="Times New Roman" w:hAnsi="Times New Roman" w:eastAsia="宋体" w:cs="Times New Roman"/>
          <w:bCs/>
          <w:color w:val="auto"/>
          <w:sz w:val="24"/>
          <w:szCs w:val="24"/>
          <w:highlight w:val="none"/>
          <w:u w:val="none"/>
          <w:lang w:val="zh-CN"/>
        </w:rPr>
        <w:t>0834-6999550</w:t>
      </w:r>
      <w:r>
        <w:rPr>
          <w:rFonts w:hint="eastAsia" w:ascii="Times New Roman" w:hAnsi="Times New Roman" w:eastAsia="宋体" w:cs="Times New Roman"/>
          <w:bCs/>
          <w:color w:val="auto"/>
          <w:sz w:val="24"/>
          <w:szCs w:val="24"/>
          <w:lang w:val="zh-CN" w:eastAsia="zh-CN"/>
        </w:rPr>
        <w:t xml:space="preserve"> </w:t>
      </w:r>
    </w:p>
    <w:p>
      <w:pPr>
        <w:tabs>
          <w:tab w:val="center" w:pos="4563"/>
        </w:tabs>
        <w:spacing w:line="360" w:lineRule="auto"/>
        <w:ind w:firstLine="424" w:firstLineChars="177"/>
        <w:jc w:val="left"/>
        <w:rPr>
          <w:rFonts w:hint="eastAsia" w:eastAsia="宋体"/>
          <w:color w:val="auto"/>
          <w:sz w:val="24"/>
          <w:szCs w:val="24"/>
          <w:lang w:val="en-US" w:eastAsia="zh-CN"/>
        </w:rPr>
      </w:pPr>
      <w:r>
        <w:rPr>
          <w:rFonts w:hint="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4453E"/>
    <w:multiLevelType w:val="singleLevel"/>
    <w:tmpl w:val="08B4453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A5F0C62"/>
    <w:rsid w:val="0D6D7AC5"/>
    <w:rsid w:val="0F0B2F84"/>
    <w:rsid w:val="124B0112"/>
    <w:rsid w:val="14B20501"/>
    <w:rsid w:val="171B24D2"/>
    <w:rsid w:val="17E064BA"/>
    <w:rsid w:val="1C1C0DAE"/>
    <w:rsid w:val="224153BF"/>
    <w:rsid w:val="24DF0C21"/>
    <w:rsid w:val="2503524D"/>
    <w:rsid w:val="25A634D3"/>
    <w:rsid w:val="28F3021F"/>
    <w:rsid w:val="2AC327A6"/>
    <w:rsid w:val="313F5CD8"/>
    <w:rsid w:val="32DA34FB"/>
    <w:rsid w:val="32FE2435"/>
    <w:rsid w:val="35D3288A"/>
    <w:rsid w:val="3B83700D"/>
    <w:rsid w:val="40225A46"/>
    <w:rsid w:val="40670739"/>
    <w:rsid w:val="44F60E52"/>
    <w:rsid w:val="45B914F0"/>
    <w:rsid w:val="45F70D32"/>
    <w:rsid w:val="4888388C"/>
    <w:rsid w:val="49935043"/>
    <w:rsid w:val="49FD2F39"/>
    <w:rsid w:val="4ABA265F"/>
    <w:rsid w:val="4B8200F7"/>
    <w:rsid w:val="4BA000EC"/>
    <w:rsid w:val="4C827C94"/>
    <w:rsid w:val="4DF61D74"/>
    <w:rsid w:val="4FF572BC"/>
    <w:rsid w:val="51B30516"/>
    <w:rsid w:val="52C2629D"/>
    <w:rsid w:val="551B7DE0"/>
    <w:rsid w:val="56DE4C90"/>
    <w:rsid w:val="5A1225D4"/>
    <w:rsid w:val="5D820C77"/>
    <w:rsid w:val="5ECF4EAF"/>
    <w:rsid w:val="606C4A0B"/>
    <w:rsid w:val="630B7D56"/>
    <w:rsid w:val="64BA6B71"/>
    <w:rsid w:val="672B1A53"/>
    <w:rsid w:val="6A202D2A"/>
    <w:rsid w:val="6B626839"/>
    <w:rsid w:val="6ED91B77"/>
    <w:rsid w:val="700233CF"/>
    <w:rsid w:val="70767A35"/>
    <w:rsid w:val="714222DC"/>
    <w:rsid w:val="7462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5">
    <w:name w:val="Body Text Indent"/>
    <w:basedOn w:val="1"/>
    <w:unhideWhenUsed/>
    <w:qFormat/>
    <w:uiPriority w:val="99"/>
    <w:pPr>
      <w:spacing w:after="120"/>
      <w:ind w:left="420" w:leftChars="200"/>
    </w:pPr>
    <w:rPr>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8">
    <w:name w:val="Body Text First Indent 2"/>
    <w:basedOn w:val="5"/>
    <w:unhideWhenUsed/>
    <w:qFormat/>
    <w:uiPriority w:val="99"/>
    <w:pPr>
      <w:ind w:firstLine="420" w:firstLineChars="200"/>
    </w:pPr>
  </w:style>
  <w:style w:type="character" w:styleId="11">
    <w:name w:val="Strong"/>
    <w:qFormat/>
    <w:uiPriority w:val="0"/>
    <w:rPr>
      <w:b/>
    </w:rPr>
  </w:style>
  <w:style w:type="character" w:styleId="12">
    <w:name w:val="Hyperlink"/>
    <w:unhideWhenUsed/>
    <w:qFormat/>
    <w:uiPriority w:val="99"/>
    <w:rPr>
      <w:color w:val="0000FF"/>
      <w:u w:val="single"/>
    </w:r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4">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2026-07-20T07:33:32Z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