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cs="Times New Roman"/>
          <w:b/>
          <w:bCs/>
          <w:sz w:val="36"/>
          <w:szCs w:val="36"/>
          <w:lang w:val="en-US" w:eastAsia="zh-CN"/>
        </w:rPr>
      </w:pPr>
      <w:bookmarkStart w:id="0" w:name="OLE_LINK2"/>
      <w:bookmarkStart w:id="1" w:name="OLE_LINK14"/>
      <w:bookmarkStart w:id="2" w:name="OLE_LINK3"/>
      <w:bookmarkStart w:id="3" w:name="OLE_LINK8"/>
      <w:r>
        <w:rPr>
          <w:rFonts w:hint="eastAsia" w:cs="Times New Roman"/>
          <w:b/>
          <w:bCs/>
          <w:sz w:val="36"/>
          <w:szCs w:val="36"/>
          <w:lang w:val="en-US" w:eastAsia="zh-CN"/>
        </w:rPr>
        <w:t>西昌川投大健康科技有限公司</w:t>
      </w:r>
    </w:p>
    <w:bookmarkEnd w:id="0"/>
    <w:bookmarkEnd w:id="1"/>
    <w:bookmarkEnd w:id="2"/>
    <w:bookmarkEnd w:id="3"/>
    <w:p>
      <w:pPr>
        <w:pStyle w:val="2"/>
        <w:jc w:val="center"/>
        <w:rPr>
          <w:rFonts w:hint="default" w:ascii="Times New Roman" w:hAnsi="Times New Roman" w:eastAsia="宋体" w:cs="Times New Roman"/>
          <w:b/>
          <w:bCs/>
          <w:kern w:val="2"/>
          <w:sz w:val="36"/>
          <w:szCs w:val="36"/>
          <w:lang w:val="en-US" w:eastAsia="zh-CN" w:bidi="ar-SA"/>
        </w:rPr>
      </w:pPr>
      <w:bookmarkStart w:id="4" w:name="OLE_LINK7"/>
      <w:r>
        <w:rPr>
          <w:rFonts w:hint="eastAsia" w:cs="Times New Roman"/>
          <w:b/>
          <w:bCs/>
          <w:sz w:val="36"/>
          <w:szCs w:val="36"/>
          <w:lang w:val="en-US" w:eastAsia="zh-CN"/>
        </w:rPr>
        <w:t>川投西昌医院数字图书馆项目竞价采购</w:t>
      </w:r>
      <w:r>
        <w:rPr>
          <w:rFonts w:hint="eastAsia" w:ascii="Times New Roman" w:hAnsi="Times New Roman" w:eastAsia="宋体" w:cs="Times New Roman"/>
          <w:b/>
          <w:bCs/>
          <w:kern w:val="2"/>
          <w:sz w:val="36"/>
          <w:szCs w:val="36"/>
          <w:lang w:val="en-US" w:eastAsia="zh-CN" w:bidi="ar-SA"/>
        </w:rPr>
        <w:t>公告</w:t>
      </w:r>
    </w:p>
    <w:bookmarkEnd w:id="4"/>
    <w:p>
      <w:pPr>
        <w:tabs>
          <w:tab w:val="left" w:pos="1050"/>
          <w:tab w:val="center" w:pos="4563"/>
        </w:tabs>
        <w:spacing w:line="360" w:lineRule="auto"/>
        <w:ind w:firstLine="0" w:firstLineChars="0"/>
        <w:jc w:val="left"/>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一、基本情况</w:t>
      </w:r>
    </w:p>
    <w:p>
      <w:pPr>
        <w:tabs>
          <w:tab w:val="left" w:pos="1050"/>
          <w:tab w:val="center" w:pos="4563"/>
        </w:tabs>
        <w:spacing w:line="360" w:lineRule="auto"/>
        <w:ind w:firstLine="424" w:firstLineChars="177"/>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（以下简称</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，合同中简称“甲方”）为西昌川投大健康科技有限公司，公司</w:t>
      </w:r>
      <w:r>
        <w:rPr>
          <w:rFonts w:hint="eastAsia" w:ascii="Times New Roman" w:hAnsi="Times New Roman" w:eastAsia="宋体" w:cs="Times New Roman"/>
          <w:color w:val="auto"/>
          <w:sz w:val="24"/>
          <w:szCs w:val="24"/>
          <w:highlight w:val="none"/>
          <w:lang w:val="en-US" w:eastAsia="zh-CN"/>
        </w:rPr>
        <w:t>于2017年6月成立，公司注册资本金6.2亿元，其中四川能源医药健康产业集团有限责任公司出资占比51%，西昌海河文旅投资发展有限公司出资占比49%，通过高起点、高标准建设运营川投西昌医院项目（包括健康养生中心、综合医院），全面发挥投资管理与资源禀赋有机结合的优势。</w:t>
      </w:r>
    </w:p>
    <w:p>
      <w:pPr>
        <w:tabs>
          <w:tab w:val="left" w:pos="1050"/>
          <w:tab w:val="center" w:pos="4563"/>
        </w:tabs>
        <w:spacing w:line="360" w:lineRule="auto"/>
        <w:ind w:firstLine="424" w:firstLineChars="177"/>
        <w:jc w:val="left"/>
        <w:rPr>
          <w:rFonts w:hint="eastAsia"/>
          <w:sz w:val="24"/>
          <w:szCs w:val="24"/>
        </w:rPr>
      </w:pPr>
      <w:r>
        <w:rPr>
          <w:rFonts w:hint="eastAsia" w:ascii="Times New Roman" w:hAnsi="Times New Roman" w:eastAsia="宋体" w:cs="Times New Roman"/>
          <w:color w:val="auto"/>
          <w:sz w:val="24"/>
          <w:szCs w:val="24"/>
          <w:highlight w:val="none"/>
        </w:rPr>
        <w:t>根据工作安排，</w:t>
      </w:r>
      <w:r>
        <w:rPr>
          <w:rFonts w:hint="eastAsia" w:ascii="Times New Roman" w:hAnsi="Times New Roman" w:eastAsia="宋体" w:cs="Times New Roman"/>
          <w:sz w:val="24"/>
          <w:szCs w:val="24"/>
          <w:lang w:val="en-US" w:eastAsia="zh-CN"/>
        </w:rPr>
        <w:t>拟对</w:t>
      </w:r>
      <w:bookmarkStart w:id="5" w:name="PO_默认文件内容_1"/>
      <w:r>
        <w:rPr>
          <w:rFonts w:hint="eastAsia" w:ascii="Times New Roman" w:hAnsi="Times New Roman" w:eastAsia="宋体" w:cs="Times New Roman"/>
          <w:b/>
          <w:bCs/>
          <w:sz w:val="24"/>
          <w:szCs w:val="24"/>
          <w:u w:val="single"/>
          <w:lang w:val="en-US" w:eastAsia="zh-CN"/>
        </w:rPr>
        <w:t>川投西昌医院数字图书</w:t>
      </w:r>
      <w:r>
        <w:rPr>
          <w:rFonts w:hint="eastAsia" w:ascii="Times New Roman" w:hAnsi="Times New Roman" w:eastAsia="宋体" w:cs="Times New Roman"/>
          <w:b/>
          <w:bCs/>
          <w:sz w:val="24"/>
          <w:szCs w:val="24"/>
          <w:u w:val="single"/>
          <w:lang w:val="en-US" w:eastAsia="zh"/>
        </w:rPr>
        <w:t>馆</w:t>
      </w:r>
      <w:r>
        <w:rPr>
          <w:rFonts w:hint="eastAsia" w:ascii="Times New Roman" w:hAnsi="Times New Roman" w:eastAsia="宋体" w:cs="Times New Roman"/>
          <w:b/>
          <w:bCs/>
          <w:sz w:val="24"/>
          <w:szCs w:val="24"/>
          <w:u w:val="single"/>
          <w:lang w:val="en-US" w:eastAsia="zh-CN"/>
        </w:rPr>
        <w:t>项目</w:t>
      </w:r>
      <w:r>
        <w:rPr>
          <w:rFonts w:hint="eastAsia" w:ascii="Times New Roman" w:hAnsi="Times New Roman" w:eastAsia="宋体" w:cs="Times New Roman"/>
          <w:sz w:val="24"/>
          <w:szCs w:val="24"/>
        </w:rPr>
        <w:t>采用</w:t>
      </w:r>
      <w:r>
        <w:rPr>
          <w:rFonts w:hint="eastAsia" w:ascii="Times New Roman" w:hAnsi="Times New Roman" w:eastAsia="宋体" w:cs="Times New Roman"/>
          <w:sz w:val="24"/>
          <w:szCs w:val="24"/>
          <w:lang w:eastAsia="zh-CN"/>
        </w:rPr>
        <w:t>竞价</w:t>
      </w:r>
      <w:r>
        <w:rPr>
          <w:rFonts w:hint="eastAsia" w:ascii="Times New Roman" w:hAnsi="Times New Roman" w:eastAsia="宋体" w:cs="Times New Roman"/>
          <w:sz w:val="24"/>
          <w:szCs w:val="24"/>
          <w:lang w:val="en-US" w:eastAsia="zh-CN"/>
        </w:rPr>
        <w:t>采购</w:t>
      </w:r>
      <w:r>
        <w:rPr>
          <w:rFonts w:hint="eastAsia" w:ascii="Times New Roman" w:hAnsi="Times New Roman" w:eastAsia="宋体" w:cs="Times New Roman"/>
          <w:sz w:val="24"/>
          <w:szCs w:val="24"/>
        </w:rPr>
        <w:t>方式进行采购，特邀请符合本次采购要求的供应商</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以下简称“响应人”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参加本项目的</w:t>
      </w:r>
      <w:bookmarkEnd w:id="5"/>
      <w:r>
        <w:rPr>
          <w:rFonts w:hint="eastAsia" w:ascii="Times New Roman" w:hAnsi="Times New Roman" w:eastAsia="宋体" w:cs="Times New Roman"/>
          <w:sz w:val="24"/>
          <w:szCs w:val="24"/>
          <w:lang w:eastAsia="zh-CN"/>
        </w:rPr>
        <w:t>竞价</w:t>
      </w:r>
      <w:r>
        <w:rPr>
          <w:rFonts w:hint="eastAsia" w:ascii="Times New Roman" w:hAnsi="Times New Roman" w:eastAsia="宋体" w:cs="Times New Roman"/>
          <w:sz w:val="24"/>
          <w:szCs w:val="24"/>
        </w:rPr>
        <w:t>。</w:t>
      </w:r>
    </w:p>
    <w:p>
      <w:pPr>
        <w:spacing w:line="360" w:lineRule="auto"/>
        <w:rPr>
          <w:b/>
          <w:sz w:val="24"/>
          <w:szCs w:val="24"/>
        </w:rPr>
      </w:pPr>
      <w:r>
        <w:rPr>
          <w:rFonts w:hint="eastAsia"/>
          <w:b/>
          <w:sz w:val="24"/>
          <w:szCs w:val="24"/>
          <w:lang w:val="en-US" w:eastAsia="zh"/>
        </w:rPr>
        <w:t>二</w:t>
      </w:r>
      <w:r>
        <w:rPr>
          <w:rFonts w:hint="eastAsia"/>
          <w:b/>
          <w:sz w:val="24"/>
          <w:szCs w:val="24"/>
        </w:rPr>
        <w:t>、采购内容：</w:t>
      </w:r>
    </w:p>
    <w:tbl>
      <w:tblPr>
        <w:tblStyle w:val="10"/>
        <w:tblW w:w="508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1223"/>
        <w:gridCol w:w="4064"/>
        <w:gridCol w:w="1980"/>
        <w:gridCol w:w="1391"/>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45" w:hRule="atLeast"/>
          <w:jc w:val="center"/>
        </w:trPr>
        <w:tc>
          <w:tcPr>
            <w:tcW w:w="706" w:type="pct"/>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pPr>
              <w:snapToGrid w:val="0"/>
              <w:spacing w:line="260" w:lineRule="exact"/>
              <w:ind w:left="-141" w:leftChars="-67" w:right="-109" w:rightChars="-52"/>
              <w:jc w:val="center"/>
              <w:rPr>
                <w:b/>
                <w:bCs/>
                <w:color w:val="000000"/>
                <w:sz w:val="24"/>
              </w:rPr>
            </w:pPr>
            <w:r>
              <w:rPr>
                <w:b/>
                <w:bCs/>
                <w:color w:val="000000"/>
                <w:sz w:val="24"/>
              </w:rPr>
              <w:t>序号</w:t>
            </w:r>
          </w:p>
        </w:tc>
        <w:tc>
          <w:tcPr>
            <w:tcW w:w="2346"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rFonts w:hint="default" w:eastAsia="宋体"/>
                <w:b/>
                <w:bCs/>
                <w:color w:val="000000"/>
                <w:sz w:val="24"/>
                <w:lang w:val="en-US" w:eastAsia="zh-CN"/>
              </w:rPr>
            </w:pPr>
            <w:r>
              <w:rPr>
                <w:rFonts w:hint="eastAsia"/>
                <w:b/>
                <w:bCs/>
                <w:color w:val="000000"/>
                <w:sz w:val="24"/>
                <w:lang w:val="en-US" w:eastAsia="zh-CN"/>
              </w:rPr>
              <w:t>项目名称</w:t>
            </w:r>
          </w:p>
        </w:tc>
        <w:tc>
          <w:tcPr>
            <w:tcW w:w="1143"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b/>
                <w:bCs/>
                <w:color w:val="000000"/>
                <w:sz w:val="24"/>
              </w:rPr>
            </w:pPr>
            <w:r>
              <w:rPr>
                <w:rFonts w:hint="eastAsia"/>
                <w:b/>
                <w:bCs/>
                <w:color w:val="000000"/>
                <w:sz w:val="24"/>
                <w:lang w:eastAsia="zh"/>
              </w:rPr>
              <w:t>含税最高限价</w:t>
            </w:r>
          </w:p>
          <w:p>
            <w:pPr>
              <w:snapToGrid w:val="0"/>
              <w:spacing w:line="260" w:lineRule="exact"/>
              <w:ind w:left="-141" w:leftChars="-67" w:right="-109" w:rightChars="-52"/>
              <w:jc w:val="center"/>
              <w:rPr>
                <w:b/>
                <w:bCs/>
                <w:color w:val="000000"/>
                <w:sz w:val="24"/>
              </w:rPr>
            </w:pPr>
            <w:r>
              <w:rPr>
                <w:b/>
                <w:bCs/>
                <w:color w:val="000000"/>
                <w:sz w:val="24"/>
              </w:rPr>
              <w:t>（元）</w:t>
            </w:r>
          </w:p>
        </w:tc>
        <w:tc>
          <w:tcPr>
            <w:tcW w:w="803" w:type="pct"/>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pPr>
              <w:snapToGrid w:val="0"/>
              <w:spacing w:line="260" w:lineRule="exact"/>
              <w:ind w:left="-141" w:leftChars="-67" w:right="-109" w:rightChars="-52"/>
              <w:jc w:val="center"/>
              <w:rPr>
                <w:rFonts w:hint="eastAsia"/>
                <w:b/>
                <w:bCs/>
                <w:color w:val="000000"/>
                <w:sz w:val="24"/>
              </w:rPr>
            </w:pPr>
            <w:r>
              <w:rPr>
                <w:rFonts w:hint="eastAsia"/>
                <w:b/>
                <w:bCs/>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28" w:hRule="atLeast"/>
          <w:jc w:val="center"/>
        </w:trPr>
        <w:tc>
          <w:tcPr>
            <w:tcW w:w="706" w:type="pct"/>
            <w:tcBorders>
              <w:top w:val="single" w:color="000000" w:sz="4" w:space="0"/>
              <w:left w:val="single" w:color="000000" w:sz="12" w:space="0"/>
              <w:bottom w:val="single" w:color="000000" w:sz="12" w:space="0"/>
              <w:right w:val="single" w:color="000000" w:sz="4" w:space="0"/>
            </w:tcBorders>
            <w:shd w:val="clear" w:color="auto" w:fill="FFFFFF"/>
            <w:noWrap w:val="0"/>
            <w:vAlign w:val="center"/>
          </w:tcPr>
          <w:p>
            <w:pPr>
              <w:snapToGrid w:val="0"/>
              <w:spacing w:line="260" w:lineRule="exact"/>
              <w:jc w:val="center"/>
              <w:rPr>
                <w:b w:val="0"/>
                <w:color w:val="000000"/>
                <w:sz w:val="24"/>
              </w:rPr>
            </w:pPr>
            <w:r>
              <w:rPr>
                <w:b w:val="0"/>
                <w:color w:val="000000"/>
                <w:sz w:val="24"/>
              </w:rPr>
              <w:t>1</w:t>
            </w:r>
          </w:p>
        </w:tc>
        <w:tc>
          <w:tcPr>
            <w:tcW w:w="2346"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snapToGrid w:val="0"/>
              <w:spacing w:line="260" w:lineRule="exact"/>
              <w:jc w:val="center"/>
              <w:rPr>
                <w:rFonts w:hint="default" w:eastAsia="宋体"/>
                <w:b w:val="0"/>
                <w:color w:val="000000"/>
                <w:sz w:val="24"/>
                <w:lang w:val="en-US" w:eastAsia="zh"/>
              </w:rPr>
            </w:pPr>
            <w:r>
              <w:rPr>
                <w:rFonts w:hint="eastAsia" w:eastAsia="宋体"/>
                <w:b w:val="0"/>
                <w:color w:val="000000"/>
                <w:sz w:val="24"/>
                <w:lang w:val="en-US" w:eastAsia="zh-CN"/>
              </w:rPr>
              <w:t>川投西昌医院数字图书</w:t>
            </w:r>
            <w:r>
              <w:rPr>
                <w:rFonts w:hint="eastAsia" w:eastAsia="宋体"/>
                <w:b w:val="0"/>
                <w:color w:val="000000"/>
                <w:sz w:val="24"/>
                <w:lang w:val="en-US" w:eastAsia="zh"/>
              </w:rPr>
              <w:t>馆</w:t>
            </w:r>
            <w:r>
              <w:rPr>
                <w:rFonts w:hint="eastAsia" w:eastAsia="宋体"/>
                <w:b w:val="0"/>
                <w:color w:val="000000"/>
                <w:sz w:val="24"/>
                <w:lang w:val="en-US" w:eastAsia="zh-CN"/>
              </w:rPr>
              <w:t>项目</w:t>
            </w:r>
          </w:p>
        </w:tc>
        <w:tc>
          <w:tcPr>
            <w:tcW w:w="1143"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jc w:val="center"/>
              <w:rPr>
                <w:rFonts w:hint="eastAsia" w:eastAsia="宋体"/>
                <w:b w:val="0"/>
                <w:snapToGrid w:val="0"/>
                <w:color w:val="000000"/>
                <w:kern w:val="13"/>
                <w:sz w:val="24"/>
                <w:szCs w:val="28"/>
                <w:highlight w:val="none"/>
                <w:lang w:val="en-US" w:eastAsia="zh"/>
              </w:rPr>
            </w:pPr>
            <w:r>
              <w:rPr>
                <w:rFonts w:hint="eastAsia" w:eastAsia="宋体"/>
                <w:b w:val="0"/>
                <w:snapToGrid w:val="0"/>
                <w:color w:val="000000"/>
                <w:kern w:val="13"/>
                <w:sz w:val="24"/>
                <w:szCs w:val="28"/>
                <w:highlight w:val="none"/>
                <w:lang w:val="en-US" w:eastAsia="zh-CN"/>
              </w:rPr>
              <w:t>195000</w:t>
            </w:r>
            <w:r>
              <w:rPr>
                <w:rFonts w:hint="eastAsia" w:eastAsia="宋体"/>
                <w:b w:val="0"/>
                <w:snapToGrid w:val="0"/>
                <w:color w:val="000000"/>
                <w:kern w:val="13"/>
                <w:sz w:val="24"/>
                <w:szCs w:val="28"/>
                <w:highlight w:val="none"/>
                <w:lang w:val="en-US" w:eastAsia="zh"/>
              </w:rPr>
              <w:t>.00</w:t>
            </w:r>
          </w:p>
        </w:tc>
        <w:tc>
          <w:tcPr>
            <w:tcW w:w="803" w:type="pct"/>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pPr>
              <w:jc w:val="center"/>
              <w:rPr>
                <w:rFonts w:hint="eastAsia"/>
                <w:b w:val="0"/>
                <w:snapToGrid w:val="0"/>
                <w:color w:val="000000"/>
                <w:kern w:val="13"/>
                <w:sz w:val="24"/>
                <w:szCs w:val="28"/>
                <w:highlight w:val="none"/>
              </w:rPr>
            </w:pPr>
            <w:r>
              <w:rPr>
                <w:rFonts w:hint="eastAsia"/>
                <w:b w:val="0"/>
                <w:snapToGrid w:val="0"/>
                <w:color w:val="000000"/>
                <w:kern w:val="13"/>
                <w:sz w:val="24"/>
                <w:szCs w:val="28"/>
                <w:highlight w:val="none"/>
              </w:rPr>
              <w:t>无</w:t>
            </w:r>
          </w:p>
        </w:tc>
      </w:tr>
    </w:tbl>
    <w:p>
      <w:pPr>
        <w:spacing w:line="360" w:lineRule="auto"/>
        <w:ind w:firstLine="480" w:firstLineChars="200"/>
        <w:jc w:val="left"/>
        <w:rPr>
          <w:rFonts w:hint="eastAsia"/>
          <w:sz w:val="24"/>
          <w:szCs w:val="24"/>
        </w:rPr>
      </w:pPr>
      <w:r>
        <w:rPr>
          <w:rFonts w:hint="eastAsia"/>
          <w:sz w:val="24"/>
          <w:szCs w:val="24"/>
        </w:rPr>
        <w:t>详见第</w:t>
      </w:r>
      <w:r>
        <w:rPr>
          <w:rFonts w:hint="eastAsia"/>
          <w:sz w:val="24"/>
          <w:szCs w:val="24"/>
          <w:lang w:val="en-US" w:eastAsia="zh-CN"/>
        </w:rPr>
        <w:t>四</w:t>
      </w:r>
      <w:r>
        <w:rPr>
          <w:rFonts w:hint="eastAsia"/>
          <w:sz w:val="24"/>
          <w:szCs w:val="24"/>
        </w:rPr>
        <w:t>章“</w:t>
      </w:r>
      <w:r>
        <w:rPr>
          <w:rFonts w:hint="default"/>
          <w:sz w:val="24"/>
          <w:szCs w:val="24"/>
        </w:rPr>
        <w:t>采购项目技术、服务要求</w:t>
      </w:r>
      <w:r>
        <w:rPr>
          <w:rFonts w:hint="eastAsia"/>
          <w:sz w:val="24"/>
          <w:szCs w:val="24"/>
        </w:rPr>
        <w:t>”。</w:t>
      </w:r>
    </w:p>
    <w:p>
      <w:pPr>
        <w:spacing w:line="360" w:lineRule="auto"/>
        <w:jc w:val="left"/>
        <w:rPr>
          <w:rFonts w:hint="eastAsia"/>
          <w:b/>
          <w:sz w:val="24"/>
          <w:szCs w:val="24"/>
        </w:rPr>
      </w:pPr>
      <w:r>
        <w:rPr>
          <w:rFonts w:hint="eastAsia"/>
          <w:b/>
          <w:sz w:val="24"/>
          <w:szCs w:val="24"/>
          <w:lang w:val="en-US" w:eastAsia="zh"/>
        </w:rPr>
        <w:t>三</w:t>
      </w:r>
      <w:r>
        <w:rPr>
          <w:rFonts w:hint="eastAsia"/>
          <w:b/>
          <w:sz w:val="24"/>
          <w:szCs w:val="24"/>
        </w:rPr>
        <w:t>、供应商资格要求：</w:t>
      </w:r>
    </w:p>
    <w:p>
      <w:pPr>
        <w:spacing w:line="360" w:lineRule="auto"/>
        <w:rPr>
          <w:rFonts w:hint="eastAsia" w:ascii="Times New Roman" w:hAnsi="Times New Roman" w:eastAsia="宋体" w:cs="Times New Roman"/>
          <w:color w:val="auto"/>
          <w:sz w:val="24"/>
        </w:rPr>
      </w:pPr>
      <w:r>
        <w:rPr>
          <w:rFonts w:hint="eastAsia"/>
          <w:b/>
          <w:color w:val="auto"/>
          <w:sz w:val="24"/>
          <w:szCs w:val="24"/>
          <w:lang w:val="en-US" w:eastAsia="zh-CN"/>
        </w:rPr>
        <w:t xml:space="preserve">     </w:t>
      </w:r>
      <w:r>
        <w:rPr>
          <w:rFonts w:hint="eastAsia" w:ascii="Times New Roman" w:hAnsi="Times New Roman" w:eastAsia="宋体" w:cs="Times New Roman"/>
          <w:b w:val="0"/>
          <w:color w:val="auto"/>
          <w:sz w:val="24"/>
          <w:szCs w:val="20"/>
          <w:lang w:val="en-US" w:eastAsia="zh-CN"/>
        </w:rPr>
        <w:t>1</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rPr>
        <w:t>具有独立承担民事责任能力的组织；</w:t>
      </w:r>
    </w:p>
    <w:p>
      <w:pPr>
        <w:ind w:firstLine="600" w:firstLineChars="25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rPr>
        <w:t>具有良好的商业信誉和健全的财务会计制度；</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3、具有履行合同所必须的设备和专业技术能力；</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4、具有依法缴纳税收和社会保障资金的良好记录；</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5、参加本次采购活动前三年内，在经营活动中没有重大违法记录；</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6、法定代表人授权委托书（法定代表人或单位负责人直接参与的除外）</w:t>
      </w:r>
      <w:r>
        <w:rPr>
          <w:rFonts w:hint="eastAsia" w:ascii="Times New Roman" w:hAnsi="Times New Roman" w:eastAsia="宋体" w:cs="Times New Roman"/>
          <w:color w:val="auto"/>
          <w:sz w:val="24"/>
          <w:lang w:val="en-US"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7、</w:t>
      </w:r>
      <w:r>
        <w:rPr>
          <w:rFonts w:hint="eastAsia" w:ascii="Times New Roman" w:hAnsi="Times New Roman" w:eastAsia="宋体" w:cs="Times New Roman"/>
          <w:color w:val="auto"/>
          <w:sz w:val="24"/>
        </w:rPr>
        <w:t>在行贿犯罪信息查询期限内，</w:t>
      </w:r>
      <w:r>
        <w:rPr>
          <w:rFonts w:hint="eastAsia" w:ascii="Times New Roman" w:hAnsi="Times New Roman" w:eastAsia="宋体" w:cs="Times New Roman"/>
          <w:color w:val="auto"/>
          <w:sz w:val="24"/>
          <w:lang w:val="en-US" w:eastAsia="zh-CN"/>
        </w:rPr>
        <w:t>供应商</w:t>
      </w:r>
      <w:r>
        <w:rPr>
          <w:rFonts w:hint="eastAsia" w:ascii="Times New Roman" w:hAnsi="Times New Roman" w:eastAsia="宋体" w:cs="Times New Roman"/>
          <w:color w:val="auto"/>
          <w:sz w:val="24"/>
        </w:rPr>
        <w:t>及其现任法定代表人、主要负责人没有行贿犯罪记录</w:t>
      </w:r>
      <w:r>
        <w:rPr>
          <w:rFonts w:hint="eastAsia" w:ascii="Times New Roman" w:hAnsi="Times New Roman" w:eastAsia="宋体" w:cs="Times New Roman"/>
          <w:color w:val="auto"/>
          <w:sz w:val="24"/>
          <w:lang w:val="en-US"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8、供应商</w:t>
      </w:r>
      <w:r>
        <w:rPr>
          <w:rFonts w:hint="eastAsia" w:ascii="Times New Roman" w:hAnsi="Times New Roman" w:eastAsia="宋体" w:cs="Times New Roman"/>
          <w:color w:val="auto"/>
          <w:sz w:val="24"/>
        </w:rPr>
        <w:t>未被“信用中国”列入失信被执行人名单、经营（活动）异常名录、严重失信主体名单</w:t>
      </w:r>
      <w:r>
        <w:rPr>
          <w:rFonts w:hint="eastAsia" w:ascii="Times New Roman" w:hAnsi="Times New Roman" w:eastAsia="宋体" w:cs="Times New Roman"/>
          <w:color w:val="auto"/>
          <w:sz w:val="24"/>
          <w:lang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szCs w:val="20"/>
          <w:highlight w:val="none"/>
          <w:lang w:eastAsia="zh-CN"/>
        </w:rPr>
      </w:pPr>
      <w:r>
        <w:rPr>
          <w:rFonts w:hint="eastAsia" w:ascii="Times New Roman" w:hAnsi="Times New Roman" w:eastAsia="宋体" w:cs="Times New Roman"/>
          <w:color w:val="auto"/>
          <w:sz w:val="24"/>
          <w:szCs w:val="20"/>
          <w:lang w:val="en-US" w:eastAsia="zh-CN"/>
        </w:rPr>
        <w:t>9、须</w:t>
      </w:r>
      <w:r>
        <w:rPr>
          <w:rFonts w:hint="eastAsia" w:ascii="Times New Roman" w:hAnsi="Times New Roman" w:eastAsia="宋体" w:cs="Times New Roman"/>
          <w:color w:val="auto"/>
          <w:sz w:val="24"/>
          <w:szCs w:val="20"/>
          <w:highlight w:val="none"/>
          <w:lang w:eastAsia="zh-CN"/>
        </w:rPr>
        <w:t>提供系统相应的计算机软件著作权登记证书；</w:t>
      </w:r>
    </w:p>
    <w:p>
      <w:pPr>
        <w:tabs>
          <w:tab w:val="left" w:pos="7740"/>
        </w:tabs>
        <w:spacing w:after="0" w:line="580" w:lineRule="exact"/>
        <w:ind w:firstLine="480" w:firstLineChars="200"/>
        <w:rPr>
          <w:rFonts w:hint="eastAsia" w:ascii="Times New Roman" w:hAnsi="Times New Roman" w:eastAsia="宋体" w:cs="Times New Roman"/>
          <w:color w:val="auto"/>
          <w:sz w:val="24"/>
          <w:szCs w:val="20"/>
          <w:highlight w:val="none"/>
          <w:lang w:eastAsia="zh-CN"/>
        </w:rPr>
      </w:pPr>
      <w:r>
        <w:rPr>
          <w:rFonts w:hint="eastAsia" w:ascii="Times New Roman" w:hAnsi="Times New Roman" w:eastAsia="宋体" w:cs="Times New Roman"/>
          <w:color w:val="auto"/>
          <w:sz w:val="24"/>
          <w:szCs w:val="20"/>
          <w:highlight w:val="none"/>
          <w:lang w:val="en-US" w:eastAsia="zh-CN"/>
        </w:rPr>
        <w:t>10、</w:t>
      </w:r>
      <w:r>
        <w:rPr>
          <w:rFonts w:hint="eastAsia" w:ascii="Times New Roman" w:hAnsi="Times New Roman" w:eastAsia="宋体" w:cs="Times New Roman"/>
          <w:color w:val="auto"/>
          <w:sz w:val="24"/>
          <w:szCs w:val="20"/>
          <w:highlight w:val="none"/>
          <w:lang w:eastAsia="zh-CN"/>
        </w:rPr>
        <w:t>须保证提供资源内容权威、版权正规。</w:t>
      </w:r>
    </w:p>
    <w:p>
      <w:pPr>
        <w:spacing w:line="360" w:lineRule="auto"/>
        <w:jc w:val="left"/>
        <w:rPr>
          <w:rFonts w:hint="eastAsia"/>
          <w:b/>
          <w:sz w:val="24"/>
          <w:szCs w:val="24"/>
        </w:rPr>
      </w:pPr>
      <w:bookmarkStart w:id="6" w:name="_Toc271795176"/>
      <w:bookmarkStart w:id="7" w:name="_Toc271795056"/>
      <w:r>
        <w:rPr>
          <w:rFonts w:hint="eastAsia"/>
          <w:b/>
          <w:sz w:val="24"/>
          <w:szCs w:val="24"/>
          <w:lang w:val="en-US" w:eastAsia="zh"/>
        </w:rPr>
        <w:t>四</w:t>
      </w:r>
      <w:r>
        <w:rPr>
          <w:rFonts w:hint="eastAsia"/>
          <w:b/>
          <w:sz w:val="24"/>
          <w:szCs w:val="24"/>
        </w:rPr>
        <w:t>、采购文件的</w:t>
      </w:r>
      <w:r>
        <w:rPr>
          <w:rFonts w:hint="eastAsia"/>
          <w:b/>
          <w:sz w:val="24"/>
          <w:szCs w:val="24"/>
          <w:lang w:val="en-US" w:eastAsia="zh-CN"/>
        </w:rPr>
        <w:t>获取</w:t>
      </w:r>
      <w:r>
        <w:rPr>
          <w:rFonts w:hint="eastAsia"/>
          <w:b/>
          <w:sz w:val="24"/>
          <w:szCs w:val="24"/>
        </w:rPr>
        <w:t>：</w:t>
      </w:r>
      <w:bookmarkEnd w:id="6"/>
      <w:bookmarkEnd w:id="7"/>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1、</w:t>
      </w:r>
      <w:r>
        <w:rPr>
          <w:rFonts w:hint="eastAsia" w:ascii="Times" w:hAnsi="Times" w:eastAsia="宋体" w:cs="Times New Roman"/>
          <w:i w:val="0"/>
          <w:iCs w:val="0"/>
          <w:caps w:val="0"/>
          <w:color w:val="000000"/>
          <w:spacing w:val="0"/>
          <w:sz w:val="24"/>
          <w:szCs w:val="24"/>
          <w:highlight w:val="none"/>
          <w:shd w:val="clear" w:color="auto" w:fill="auto"/>
        </w:rPr>
        <w:t>获取时间</w:t>
      </w:r>
      <w:r>
        <w:rPr>
          <w:rFonts w:hint="eastAsia" w:ascii="Times" w:hAnsi="Times" w:eastAsia="宋体" w:cs="Times New Roman"/>
          <w:i w:val="0"/>
          <w:iCs w:val="0"/>
          <w:caps w:val="0"/>
          <w:color w:val="000000"/>
          <w:spacing w:val="0"/>
          <w:sz w:val="24"/>
          <w:szCs w:val="24"/>
          <w:highlight w:val="none"/>
          <w:shd w:val="clear" w:color="auto" w:fill="auto"/>
          <w:lang w:eastAsia="zh-CN"/>
        </w:rPr>
        <w:t>：</w:t>
      </w:r>
      <w:r>
        <w:rPr>
          <w:rFonts w:hint="eastAsia" w:ascii="Times" w:hAnsi="Times" w:eastAsia="宋体" w:cs="Times New Roman"/>
          <w:b w:val="0"/>
          <w:bCs w:val="0"/>
          <w:i w:val="0"/>
          <w:iCs w:val="0"/>
          <w:caps w:val="0"/>
          <w:color w:val="000000"/>
          <w:spacing w:val="0"/>
          <w:sz w:val="24"/>
          <w:szCs w:val="24"/>
          <w:highlight w:val="none"/>
          <w:u w:val="none"/>
          <w:shd w:val="clear" w:color="auto" w:fill="auto"/>
        </w:rPr>
        <w:t>202</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6</w:t>
      </w:r>
      <w:r>
        <w:rPr>
          <w:rFonts w:hint="eastAsia" w:ascii="Times" w:hAnsi="Times" w:eastAsia="宋体" w:cs="Times New Roman"/>
          <w:b w:val="0"/>
          <w:bCs w:val="0"/>
          <w:i w:val="0"/>
          <w:iCs w:val="0"/>
          <w:caps w:val="0"/>
          <w:color w:val="000000"/>
          <w:spacing w:val="0"/>
          <w:sz w:val="24"/>
          <w:szCs w:val="24"/>
          <w:highlight w:val="none"/>
          <w:shd w:val="clear" w:color="auto" w:fill="auto"/>
        </w:rPr>
        <w:t>年</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08</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21</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9时00分</w:t>
      </w:r>
      <w:r>
        <w:rPr>
          <w:rFonts w:hint="eastAsia" w:ascii="Times" w:hAnsi="Times" w:eastAsia="宋体" w:cs="Times New Roman"/>
          <w:b w:val="0"/>
          <w:bCs w:val="0"/>
          <w:i w:val="0"/>
          <w:iCs w:val="0"/>
          <w:caps w:val="0"/>
          <w:color w:val="000000"/>
          <w:spacing w:val="0"/>
          <w:sz w:val="24"/>
          <w:szCs w:val="24"/>
          <w:highlight w:val="none"/>
          <w:shd w:val="clear" w:color="auto" w:fill="auto"/>
        </w:rPr>
        <w:t>至</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08</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23</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u w:val="none"/>
          <w:shd w:val="clear" w:color="auto" w:fill="auto"/>
        </w:rPr>
        <w:t>17</w:t>
      </w:r>
      <w:r>
        <w:rPr>
          <w:rFonts w:hint="eastAsia" w:ascii="Times" w:hAnsi="Times" w:eastAsia="宋体" w:cs="Times New Roman"/>
          <w:b w:val="0"/>
          <w:bCs w:val="0"/>
          <w:i w:val="0"/>
          <w:iCs w:val="0"/>
          <w:caps w:val="0"/>
          <w:color w:val="000000"/>
          <w:spacing w:val="0"/>
          <w:sz w:val="24"/>
          <w:szCs w:val="24"/>
          <w:highlight w:val="none"/>
          <w:shd w:val="clear" w:color="auto" w:fill="auto"/>
        </w:rPr>
        <w:t>时</w:t>
      </w:r>
      <w:r>
        <w:rPr>
          <w:rFonts w:hint="eastAsia" w:ascii="Times" w:hAnsi="Times" w:eastAsia="宋体" w:cs="Times New Roman"/>
          <w:b w:val="0"/>
          <w:bCs w:val="0"/>
          <w:i w:val="0"/>
          <w:iCs w:val="0"/>
          <w:caps w:val="0"/>
          <w:color w:val="000000"/>
          <w:spacing w:val="0"/>
          <w:sz w:val="24"/>
          <w:szCs w:val="24"/>
          <w:highlight w:val="none"/>
          <w:u w:val="none"/>
          <w:shd w:val="clear" w:color="auto" w:fill="auto"/>
        </w:rPr>
        <w:t>00</w:t>
      </w:r>
      <w:r>
        <w:rPr>
          <w:rFonts w:hint="eastAsia" w:ascii="Times" w:hAnsi="Times" w:eastAsia="宋体" w:cs="Times New Roman"/>
          <w:b w:val="0"/>
          <w:bCs w:val="0"/>
          <w:i w:val="0"/>
          <w:iCs w:val="0"/>
          <w:caps w:val="0"/>
          <w:color w:val="000000"/>
          <w:spacing w:val="0"/>
          <w:sz w:val="24"/>
          <w:szCs w:val="24"/>
          <w:highlight w:val="none"/>
          <w:shd w:val="clear" w:color="auto" w:fill="auto"/>
        </w:rPr>
        <w:t>分</w:t>
      </w:r>
      <w:r>
        <w:rPr>
          <w:rFonts w:hint="eastAsia" w:ascii="Times" w:hAnsi="Times" w:eastAsia="宋体" w:cs="Times New Roman"/>
          <w:i w:val="0"/>
          <w:iCs w:val="0"/>
          <w:caps w:val="0"/>
          <w:color w:val="000000"/>
          <w:spacing w:val="0"/>
          <w:sz w:val="24"/>
          <w:szCs w:val="24"/>
          <w:highlight w:val="none"/>
          <w:shd w:val="clear" w:color="auto" w:fill="auto"/>
        </w:rPr>
        <w:t>（北京时间）。</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2、</w:t>
      </w:r>
      <w:r>
        <w:rPr>
          <w:rFonts w:hint="eastAsia" w:ascii="Times" w:hAnsi="Times" w:eastAsia="宋体" w:cs="Times New Roman"/>
          <w:i w:val="0"/>
          <w:iCs w:val="0"/>
          <w:caps w:val="0"/>
          <w:color w:val="000000"/>
          <w:spacing w:val="0"/>
          <w:sz w:val="24"/>
          <w:szCs w:val="24"/>
          <w:highlight w:val="none"/>
          <w:shd w:val="clear" w:color="auto" w:fill="auto"/>
        </w:rPr>
        <w:t>获取地点：四川能源天府阳光采购服务平台（http://scny.tfygcgfw.com）。</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3、</w:t>
      </w:r>
      <w:r>
        <w:rPr>
          <w:rFonts w:hint="eastAsia" w:ascii="Times" w:hAnsi="Times" w:eastAsia="宋体" w:cs="Times New Roman"/>
          <w:i w:val="0"/>
          <w:iCs w:val="0"/>
          <w:caps w:val="0"/>
          <w:color w:val="000000"/>
          <w:spacing w:val="0"/>
          <w:sz w:val="24"/>
          <w:szCs w:val="24"/>
          <w:highlight w:val="none"/>
          <w:shd w:val="clear" w:color="auto" w:fill="auto"/>
        </w:rPr>
        <w:t>获取方式：</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（1）凡有意参加的潜在</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人，请于文件获取期间登录四川能源天府阳光采购服务平台（http://scny.tfygcgfw.com/）参与项目报名</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平台</w:t>
      </w:r>
      <w:r>
        <w:rPr>
          <w:rFonts w:hint="eastAsia" w:ascii="Times" w:hAnsi="Times" w:eastAsia="宋体" w:cs="Times New Roman"/>
          <w:i w:val="0"/>
          <w:iCs w:val="0"/>
          <w:caps w:val="0"/>
          <w:color w:val="auto"/>
          <w:spacing w:val="0"/>
          <w:sz w:val="24"/>
          <w:szCs w:val="24"/>
          <w:highlight w:val="none"/>
          <w:shd w:val="clear" w:color="auto" w:fill="auto"/>
          <w:lang w:eastAsia="zh"/>
        </w:rPr>
        <w:t>注册</w:t>
      </w:r>
      <w:r>
        <w:rPr>
          <w:rFonts w:hint="eastAsia" w:ascii="Times" w:hAnsi="Times" w:eastAsia="宋体" w:cs="Times New Roman"/>
          <w:i w:val="0"/>
          <w:iCs w:val="0"/>
          <w:caps w:val="0"/>
          <w:color w:val="auto"/>
          <w:spacing w:val="0"/>
          <w:sz w:val="24"/>
          <w:szCs w:val="24"/>
          <w:highlight w:val="none"/>
          <w:shd w:val="clear" w:color="auto" w:fill="auto"/>
        </w:rPr>
        <w:t>服务费：50元</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，并按页面指示缴纳费用并下载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2</w:t>
      </w:r>
      <w:r>
        <w:rPr>
          <w:rFonts w:hint="eastAsia" w:ascii="Times" w:hAnsi="Times" w:eastAsia="宋体" w:cs="Times New Roman"/>
          <w:i w:val="0"/>
          <w:iCs w:val="0"/>
          <w:caps w:val="0"/>
          <w:color w:val="auto"/>
          <w:spacing w:val="0"/>
          <w:sz w:val="24"/>
          <w:szCs w:val="24"/>
          <w:highlight w:val="none"/>
          <w:shd w:val="clear" w:color="auto" w:fill="auto"/>
        </w:rPr>
        <w:t>）若</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人为首次登陆四川能源天府阳光采购服务平台，需先进行免费注册（平台首页左上角），注册为供应商，并按平台要求完善注册信息，未注册或系统使用有问题的供应商将无法参与本项目。</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3</w:t>
      </w: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eastAsia="zh"/>
        </w:rPr>
        <w:t>响应人</w:t>
      </w:r>
      <w:r>
        <w:rPr>
          <w:rFonts w:hint="eastAsia" w:ascii="Times" w:hAnsi="Times" w:eastAsia="宋体" w:cs="Times New Roman"/>
          <w:i w:val="0"/>
          <w:iCs w:val="0"/>
          <w:caps w:val="0"/>
          <w:color w:val="auto"/>
          <w:spacing w:val="0"/>
          <w:sz w:val="24"/>
          <w:szCs w:val="24"/>
          <w:highlight w:val="none"/>
          <w:shd w:val="clear" w:color="auto" w:fill="auto"/>
        </w:rPr>
        <w:t>登陆账号后，点击左侧菜单投标管理-招标公告，找到本项目公告，点击报名并下载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文件及其他招标资料电子版。</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shd w:val="clear" w:color="auto" w:fill="auto"/>
          <w:lang w:val="en-US" w:eastAsia="zh-CN"/>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4</w:t>
      </w:r>
      <w:r>
        <w:rPr>
          <w:rFonts w:hint="eastAsia" w:ascii="Times" w:hAnsi="Times" w:eastAsia="宋体" w:cs="Times New Roman"/>
          <w:i w:val="0"/>
          <w:iCs w:val="0"/>
          <w:caps w:val="0"/>
          <w:color w:val="auto"/>
          <w:spacing w:val="0"/>
          <w:sz w:val="24"/>
          <w:szCs w:val="24"/>
          <w:highlight w:val="none"/>
          <w:shd w:val="clear" w:color="auto" w:fill="auto"/>
        </w:rPr>
        <w:t>）本项目实行网上发售电子版</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文件，不再出售纸质</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r>
        <w:rPr>
          <w:rFonts w:hint="eastAsia" w:ascii="Times" w:hAnsi="Times" w:eastAsia="宋体" w:cs="Times New Roman"/>
          <w:i w:val="0"/>
          <w:iCs w:val="0"/>
          <w:caps w:val="0"/>
          <w:color w:val="auto"/>
          <w:spacing w:val="0"/>
          <w:sz w:val="24"/>
          <w:szCs w:val="24"/>
          <w:highlight w:val="none"/>
          <w:shd w:val="clear" w:color="auto" w:fill="auto"/>
          <w:lang w:val="en-US" w:eastAsia="zh-CN"/>
        </w:rPr>
        <w:t xml:space="preserve"> </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4、</w:t>
      </w:r>
      <w:r>
        <w:rPr>
          <w:rFonts w:hint="eastAsia" w:ascii="宋体" w:hAnsi="宋体" w:eastAsia="宋体" w:cs="宋体"/>
          <w:color w:val="auto"/>
          <w:sz w:val="24"/>
          <w:szCs w:val="24"/>
          <w:highlight w:val="none"/>
          <w:lang w:val="zh-CN"/>
        </w:rPr>
        <w:t>潜在响应人在四川能源天府阳光采购服务平台取得采购文件后决定参加本项目的，需在响应文件递交截止时间前进行报名。报名时须提供以下资料并发送至</w:t>
      </w:r>
      <w:r>
        <w:rPr>
          <w:rFonts w:hint="eastAsia" w:ascii="宋体" w:hAnsi="宋体" w:eastAsia="宋体" w:cs="宋体"/>
          <w:color w:val="auto"/>
          <w:sz w:val="24"/>
          <w:szCs w:val="24"/>
          <w:highlight w:val="none"/>
          <w:lang w:val="en-US" w:eastAsia="zh-CN"/>
        </w:rPr>
        <w:t>采购人邮箱</w:t>
      </w:r>
      <w:r>
        <w:rPr>
          <w:rFonts w:hint="eastAsia" w:ascii="宋体" w:hAnsi="宋体" w:eastAsia="宋体" w:cs="宋体"/>
          <w:color w:val="auto"/>
          <w:sz w:val="24"/>
          <w:szCs w:val="24"/>
          <w:highlight w:val="none"/>
          <w:lang w:val="zh-CN"/>
        </w:rPr>
        <w:t>TZB0834@126.com。</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（1）经办人介绍信或法定代表人授权委托书加盖公章。</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（2）经办人及法人身份证复印件加盖公章。</w:t>
      </w:r>
    </w:p>
    <w:p>
      <w:pPr>
        <w:numPr>
          <w:ilvl w:val="0"/>
          <w:numId w:val="0"/>
        </w:numPr>
        <w:spacing w:line="550" w:lineRule="exact"/>
        <w:ind w:firstLine="480" w:firstLineChars="200"/>
        <w:rPr>
          <w:rFonts w:hint="eastAsia" w:ascii="Times" w:hAnsi="Times" w:eastAsia="宋体" w:cs="Times New Roman"/>
          <w:i w:val="0"/>
          <w:iCs w:val="0"/>
          <w:caps w:val="0"/>
          <w:color w:val="auto"/>
          <w:spacing w:val="0"/>
          <w:sz w:val="24"/>
          <w:szCs w:val="24"/>
          <w:highlight w:val="none"/>
          <w:shd w:val="clear" w:color="auto" w:fill="auto"/>
        </w:rPr>
      </w:pPr>
      <w:r>
        <w:rPr>
          <w:rFonts w:hint="eastAsia" w:ascii="宋体" w:hAnsi="宋体" w:eastAsia="宋体" w:cs="宋体"/>
          <w:color w:val="auto"/>
          <w:sz w:val="24"/>
          <w:szCs w:val="24"/>
          <w:highlight w:val="none"/>
          <w:lang w:val="zh-CN"/>
        </w:rPr>
        <w:t>若提供的资格证明文件不全或不实，将导致其资格被取消。未按上述要求获取文件及报名的，递交的响应文件将不予接收。</w:t>
      </w:r>
    </w:p>
    <w:p>
      <w:pPr>
        <w:numPr>
          <w:ilvl w:val="0"/>
          <w:numId w:val="0"/>
        </w:numPr>
        <w:spacing w:line="550" w:lineRule="exact"/>
        <w:ind w:firstLine="0" w:firstLineChars="0"/>
        <w:rPr>
          <w:rFonts w:hint="eastAsia"/>
          <w:b/>
          <w:sz w:val="24"/>
          <w:szCs w:val="24"/>
        </w:rPr>
      </w:pPr>
      <w:r>
        <w:rPr>
          <w:rFonts w:hint="eastAsia"/>
          <w:b/>
          <w:sz w:val="24"/>
          <w:szCs w:val="24"/>
          <w:lang w:val="en-US" w:eastAsia="zh"/>
        </w:rPr>
        <w:t>五</w:t>
      </w:r>
      <w:r>
        <w:rPr>
          <w:rFonts w:hint="eastAsia"/>
          <w:b/>
          <w:sz w:val="24"/>
          <w:szCs w:val="24"/>
        </w:rPr>
        <w:t>、响应文件递交截止时间：</w:t>
      </w:r>
      <w:r>
        <w:rPr>
          <w:rFonts w:hint="eastAsia"/>
          <w:b/>
          <w:sz w:val="24"/>
          <w:szCs w:val="24"/>
          <w:highlight w:val="none"/>
          <w:lang w:eastAsia="zh-CN"/>
        </w:rPr>
        <w:t>2026年0</w:t>
      </w:r>
      <w:r>
        <w:rPr>
          <w:rFonts w:hint="eastAsia"/>
          <w:b/>
          <w:sz w:val="24"/>
          <w:szCs w:val="24"/>
          <w:highlight w:val="none"/>
          <w:lang w:val="en-US" w:eastAsia="zh-CN"/>
        </w:rPr>
        <w:t>8</w:t>
      </w:r>
      <w:r>
        <w:rPr>
          <w:rFonts w:hint="eastAsia"/>
          <w:b/>
          <w:sz w:val="24"/>
          <w:szCs w:val="24"/>
          <w:highlight w:val="none"/>
          <w:lang w:eastAsia="zh-CN"/>
        </w:rPr>
        <w:t>月</w:t>
      </w:r>
      <w:r>
        <w:rPr>
          <w:rFonts w:hint="eastAsia"/>
          <w:b/>
          <w:sz w:val="24"/>
          <w:szCs w:val="24"/>
          <w:highlight w:val="none"/>
          <w:lang w:val="en-US" w:eastAsia="zh-CN"/>
        </w:rPr>
        <w:t>24</w:t>
      </w:r>
      <w:r>
        <w:rPr>
          <w:rFonts w:hint="eastAsia"/>
          <w:b/>
          <w:sz w:val="24"/>
          <w:szCs w:val="24"/>
          <w:highlight w:val="none"/>
        </w:rPr>
        <w:t>日</w:t>
      </w:r>
      <w:r>
        <w:rPr>
          <w:rFonts w:hint="eastAsia"/>
          <w:b/>
          <w:sz w:val="24"/>
          <w:szCs w:val="24"/>
          <w:highlight w:val="none"/>
          <w:lang w:val="en-US" w:eastAsia="zh-CN"/>
        </w:rPr>
        <w:t>下午15</w:t>
      </w:r>
      <w:r>
        <w:rPr>
          <w:rFonts w:hint="eastAsia"/>
          <w:b/>
          <w:sz w:val="24"/>
          <w:szCs w:val="24"/>
          <w:highlight w:val="none"/>
        </w:rPr>
        <w:t>:</w:t>
      </w:r>
      <w:r>
        <w:rPr>
          <w:rFonts w:hint="eastAsia"/>
          <w:b/>
          <w:sz w:val="24"/>
          <w:szCs w:val="24"/>
          <w:highlight w:val="none"/>
          <w:lang w:val="en-US" w:eastAsia="zh-CN"/>
        </w:rPr>
        <w:t>00</w:t>
      </w:r>
      <w:r>
        <w:rPr>
          <w:rFonts w:hint="eastAsia"/>
          <w:b/>
          <w:sz w:val="24"/>
          <w:szCs w:val="24"/>
          <w:highlight w:val="none"/>
        </w:rPr>
        <w:t>分（北京时间）</w:t>
      </w:r>
      <w:r>
        <w:rPr>
          <w:rFonts w:hint="eastAsia"/>
          <w:b/>
          <w:sz w:val="24"/>
          <w:szCs w:val="24"/>
          <w:highlight w:val="none"/>
          <w:lang w:eastAsia="zh-CN"/>
        </w:rPr>
        <w:t>，</w:t>
      </w:r>
      <w:r>
        <w:rPr>
          <w:rFonts w:hint="eastAsia" w:ascii="宋体" w:hAnsi="宋体" w:eastAsia="宋体" w:cs="宋体"/>
          <w:color w:val="auto"/>
          <w:sz w:val="24"/>
          <w:szCs w:val="24"/>
          <w:highlight w:val="none"/>
          <w:lang w:val="zh-CN" w:eastAsia="zh"/>
        </w:rPr>
        <w:t>建议响应人提前10分钟到场。</w:t>
      </w:r>
    </w:p>
    <w:p>
      <w:pPr>
        <w:spacing w:line="360" w:lineRule="auto"/>
        <w:rPr>
          <w:rFonts w:hint="eastAsia"/>
          <w:sz w:val="24"/>
          <w:szCs w:val="24"/>
          <w:highlight w:val="none"/>
        </w:rPr>
      </w:pPr>
      <w:r>
        <w:rPr>
          <w:rFonts w:hint="eastAsia"/>
          <w:b/>
          <w:sz w:val="24"/>
          <w:szCs w:val="24"/>
          <w:lang w:val="en-US" w:eastAsia="zh"/>
        </w:rPr>
        <w:t>六</w:t>
      </w:r>
      <w:r>
        <w:rPr>
          <w:rFonts w:hint="eastAsia"/>
          <w:b/>
          <w:sz w:val="24"/>
          <w:szCs w:val="24"/>
        </w:rPr>
        <w:t>、响应文件递交地点：</w:t>
      </w:r>
      <w:r>
        <w:rPr>
          <w:rFonts w:hint="eastAsia" w:ascii="Times New Roman" w:hAnsi="Times New Roman" w:eastAsia="宋体" w:cs="Times New Roman"/>
          <w:b/>
          <w:sz w:val="24"/>
          <w:szCs w:val="24"/>
          <w:highlight w:val="none"/>
          <w:lang w:val="en-US" w:eastAsia="zh-CN"/>
        </w:rPr>
        <w:t>西昌市朝阳东路1号川投西昌医院</w:t>
      </w:r>
      <w:r>
        <w:rPr>
          <w:rFonts w:hint="eastAsia" w:ascii="Times New Roman" w:hAnsi="Times New Roman" w:eastAsia="宋体" w:cs="Times New Roman"/>
          <w:b/>
          <w:bCs w:val="0"/>
          <w:color w:val="auto"/>
          <w:kern w:val="2"/>
          <w:sz w:val="24"/>
          <w:szCs w:val="24"/>
          <w:highlight w:val="none"/>
          <w:lang w:val="en-US" w:eastAsia="zh-CN" w:bidi="ar-SA"/>
        </w:rPr>
        <w:t>五楼3号会议室</w:t>
      </w:r>
      <w:r>
        <w:rPr>
          <w:rFonts w:hint="eastAsia"/>
          <w:b/>
          <w:sz w:val="24"/>
          <w:szCs w:val="24"/>
          <w:highlight w:val="none"/>
        </w:rPr>
        <w:t>。</w:t>
      </w:r>
    </w:p>
    <w:p>
      <w:pPr>
        <w:tabs>
          <w:tab w:val="left" w:pos="1050"/>
          <w:tab w:val="center" w:pos="4563"/>
        </w:tabs>
        <w:spacing w:line="360" w:lineRule="auto"/>
        <w:ind w:firstLine="480" w:firstLineChars="200"/>
        <w:jc w:val="left"/>
        <w:rPr>
          <w:sz w:val="24"/>
          <w:szCs w:val="24"/>
          <w:highlight w:val="none"/>
          <w:shd w:val="clear" w:fill="FFFFFF" w:themeFill="background1"/>
        </w:rPr>
      </w:pPr>
      <w:r>
        <w:rPr>
          <w:rFonts w:hint="eastAsia"/>
          <w:sz w:val="24"/>
          <w:szCs w:val="24"/>
        </w:rPr>
        <w:t>响应文件必须在《</w:t>
      </w:r>
      <w:r>
        <w:rPr>
          <w:rFonts w:hint="eastAsia"/>
          <w:sz w:val="24"/>
          <w:szCs w:val="24"/>
          <w:lang w:val="en-US" w:eastAsia="zh-CN"/>
        </w:rPr>
        <w:t>竞价</w:t>
      </w:r>
      <w:r>
        <w:rPr>
          <w:rFonts w:hint="eastAsia"/>
          <w:sz w:val="24"/>
          <w:szCs w:val="24"/>
        </w:rPr>
        <w:t>采购文件》中所规定的截止时间前送达规定的地点。逾期送达的《响应文件》恕不接</w:t>
      </w:r>
      <w:r>
        <w:rPr>
          <w:rFonts w:hint="eastAsia"/>
          <w:sz w:val="24"/>
          <w:szCs w:val="24"/>
          <w:highlight w:val="none"/>
          <w:shd w:val="clear" w:fill="FFFFFF" w:themeFill="background1"/>
        </w:rPr>
        <w:t>收。</w:t>
      </w:r>
      <w:r>
        <w:rPr>
          <w:rFonts w:hint="eastAsia"/>
          <w:color w:val="auto"/>
          <w:sz w:val="24"/>
          <w:szCs w:val="24"/>
          <w:highlight w:val="none"/>
          <w:shd w:val="clear" w:fill="FFFFFF" w:themeFill="background1"/>
        </w:rPr>
        <w:t>本次</w:t>
      </w:r>
      <w:r>
        <w:rPr>
          <w:rFonts w:hint="eastAsia"/>
          <w:color w:val="auto"/>
          <w:sz w:val="24"/>
          <w:szCs w:val="24"/>
          <w:highlight w:val="none"/>
          <w:shd w:val="clear" w:fill="FFFFFF" w:themeFill="background1"/>
          <w:lang w:eastAsia="zh-CN"/>
        </w:rPr>
        <w:t>采购</w:t>
      </w:r>
      <w:r>
        <w:rPr>
          <w:rFonts w:hint="eastAsia"/>
          <w:color w:val="auto"/>
          <w:sz w:val="24"/>
          <w:szCs w:val="24"/>
          <w:highlight w:val="none"/>
          <w:shd w:val="clear" w:fill="FFFFFF" w:themeFill="background1"/>
          <w:lang w:val="en-US" w:eastAsia="zh-CN"/>
        </w:rPr>
        <w:t>响应</w:t>
      </w:r>
      <w:r>
        <w:rPr>
          <w:rFonts w:hint="eastAsia"/>
          <w:color w:val="auto"/>
          <w:sz w:val="24"/>
          <w:szCs w:val="24"/>
          <w:highlight w:val="none"/>
          <w:shd w:val="clear" w:fill="FFFFFF" w:themeFill="background1"/>
        </w:rPr>
        <w:t>文件</w:t>
      </w:r>
      <w:r>
        <w:rPr>
          <w:rFonts w:hint="eastAsia"/>
          <w:color w:val="auto"/>
          <w:sz w:val="24"/>
          <w:szCs w:val="24"/>
          <w:highlight w:val="none"/>
          <w:shd w:val="clear" w:fill="FFFFFF" w:themeFill="background1"/>
          <w:lang w:eastAsia="zh"/>
        </w:rPr>
        <w:t>可</w:t>
      </w:r>
      <w:r>
        <w:rPr>
          <w:rFonts w:hint="eastAsia"/>
          <w:color w:val="auto"/>
          <w:sz w:val="24"/>
          <w:szCs w:val="24"/>
          <w:highlight w:val="none"/>
          <w:shd w:val="clear" w:fill="FFFFFF" w:themeFill="background1"/>
        </w:rPr>
        <w:t>接受邮寄</w:t>
      </w:r>
      <w:r>
        <w:rPr>
          <w:rFonts w:hint="eastAsia"/>
          <w:b/>
          <w:bCs/>
          <w:color w:val="auto"/>
          <w:sz w:val="24"/>
          <w:szCs w:val="24"/>
          <w:highlight w:val="none"/>
          <w:shd w:val="clear" w:fill="FFFFFF" w:themeFill="background1"/>
          <w:lang w:eastAsia="zh"/>
        </w:rPr>
        <w:t>（须在递交截止时间前送达）</w:t>
      </w:r>
      <w:r>
        <w:rPr>
          <w:rFonts w:hint="eastAsia"/>
          <w:color w:val="auto"/>
          <w:sz w:val="24"/>
          <w:szCs w:val="24"/>
          <w:highlight w:val="none"/>
          <w:shd w:val="clear" w:fill="FFFFFF" w:themeFill="background1"/>
          <w:lang w:eastAsia="zh"/>
        </w:rPr>
        <w:t>，具体方式由响应人自行决定</w:t>
      </w:r>
      <w:r>
        <w:rPr>
          <w:rFonts w:hint="eastAsia"/>
          <w:b w:val="0"/>
          <w:bCs w:val="0"/>
          <w:color w:val="auto"/>
          <w:sz w:val="24"/>
          <w:szCs w:val="24"/>
          <w:highlight w:val="none"/>
          <w:shd w:val="clear" w:fill="FFFFFF" w:themeFill="background1"/>
        </w:rPr>
        <w:t>。</w:t>
      </w:r>
    </w:p>
    <w:p>
      <w:pPr>
        <w:numPr>
          <w:ilvl w:val="0"/>
          <w:numId w:val="0"/>
        </w:numPr>
        <w:spacing w:line="360" w:lineRule="auto"/>
        <w:ind w:right="0" w:rightChars="0"/>
        <w:jc w:val="left"/>
        <w:rPr>
          <w:rFonts w:hint="eastAsia" w:ascii="宋体" w:hAnsi="宋体" w:eastAsia="宋体" w:cs="宋体"/>
          <w:w w:val="90"/>
          <w:kern w:val="44"/>
          <w:sz w:val="24"/>
          <w:szCs w:val="24"/>
          <w:lang w:eastAsia="zh"/>
        </w:rPr>
      </w:pPr>
      <w:r>
        <w:rPr>
          <w:rFonts w:hint="eastAsia" w:ascii="Times New Roman" w:hAnsi="Times New Roman" w:eastAsia="宋体" w:cs="Times New Roman"/>
          <w:b/>
          <w:sz w:val="24"/>
          <w:szCs w:val="24"/>
          <w:lang w:val="en-US" w:eastAsia="zh"/>
        </w:rPr>
        <w:t>七</w:t>
      </w:r>
      <w:r>
        <w:rPr>
          <w:rFonts w:hint="eastAsia" w:ascii="Times New Roman" w:hAnsi="Times New Roman" w:eastAsia="宋体" w:cs="Times New Roman"/>
          <w:b/>
          <w:sz w:val="24"/>
          <w:szCs w:val="24"/>
          <w:lang w:val="en-US" w:eastAsia="zh-CN"/>
        </w:rPr>
        <w:t>、</w:t>
      </w:r>
      <w:r>
        <w:rPr>
          <w:rFonts w:hint="eastAsia" w:ascii="Times New Roman" w:hAnsi="Times New Roman" w:eastAsia="宋体" w:cs="Times New Roman"/>
          <w:b/>
          <w:sz w:val="24"/>
          <w:szCs w:val="24"/>
          <w:lang w:val="en-US" w:eastAsia="zh"/>
        </w:rPr>
        <w:t>其他</w:t>
      </w:r>
      <w:r>
        <w:rPr>
          <w:rFonts w:hint="eastAsia" w:ascii="宋体" w:hAnsi="宋体" w:eastAsia="宋体" w:cs="宋体"/>
          <w:w w:val="90"/>
          <w:kern w:val="44"/>
          <w:sz w:val="24"/>
          <w:szCs w:val="24"/>
          <w:lang w:eastAsia="zh"/>
        </w:rPr>
        <w:t xml:space="preserve">                                           </w:t>
      </w:r>
      <w:bookmarkStart w:id="8" w:name="_GoBack"/>
      <w:bookmarkEnd w:id="8"/>
    </w:p>
    <w:p>
      <w:p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1、四川能源天府阳光采购服务平台为本项目报名的唯一渠道，未按上述渠道获取文件均属无效，递交的投标文件将不予接收。</w:t>
      </w:r>
    </w:p>
    <w:p>
      <w:p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2、核查获取采购文件IP地址是否一致，若一致且投标人澄清内容评标专家未予认可的，其递交的投标文件无效。</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 xml:space="preserve">3、核查各投标人是否存在关联关系，若有关联关系，其递交的投标无效。（存在关联关系是指：投标人与参加本项目投标的其他投标人之间存在单位负责人为同一人，存在直接控股、管理关系。）                                                    </w:t>
      </w:r>
    </w:p>
    <w:p>
      <w:pPr>
        <w:numPr>
          <w:ilvl w:val="0"/>
          <w:numId w:val="0"/>
        </w:numPr>
        <w:tabs>
          <w:tab w:val="left" w:pos="1050"/>
          <w:tab w:val="center" w:pos="4563"/>
        </w:tabs>
        <w:spacing w:line="360" w:lineRule="auto"/>
        <w:ind w:firstLine="482" w:firstLineChars="200"/>
        <w:jc w:val="left"/>
        <w:rPr>
          <w:rFonts w:hint="eastAsia" w:ascii="Times New Roman" w:hAnsi="Times New Roman" w:eastAsia="宋体" w:cs="Times New Roman"/>
          <w:b w:val="0"/>
          <w:sz w:val="24"/>
          <w:szCs w:val="24"/>
          <w:lang w:val="en-US" w:eastAsia="zh-CN"/>
        </w:rPr>
      </w:pPr>
      <w:r>
        <w:rPr>
          <w:rFonts w:hint="eastAsia" w:ascii="Times New Roman" w:hAnsi="Times New Roman" w:eastAsia="宋体" w:cs="Times New Roman"/>
          <w:b/>
          <w:bCs/>
          <w:w w:val="100"/>
          <w:kern w:val="2"/>
          <w:sz w:val="24"/>
          <w:szCs w:val="24"/>
          <w:lang w:eastAsia="zh"/>
        </w:rPr>
        <w:t>注：上述均在开标时进行核查。</w:t>
      </w:r>
    </w:p>
    <w:p>
      <w:pPr>
        <w:numPr>
          <w:ilvl w:val="0"/>
          <w:numId w:val="0"/>
        </w:numPr>
        <w:spacing w:line="360" w:lineRule="auto"/>
        <w:ind w:left="0" w:firstLine="0" w:firstLineChars="0"/>
        <w:jc w:val="left"/>
        <w:rPr>
          <w:rFonts w:hint="eastAsia"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b/>
          <w:bCs w:val="0"/>
          <w:color w:val="auto"/>
          <w:sz w:val="24"/>
          <w:szCs w:val="24"/>
          <w:highlight w:val="none"/>
          <w:lang w:val="en-US" w:eastAsia="zh-CN"/>
        </w:rPr>
        <w:t>八、发布公告媒体</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bCs w:val="0"/>
          <w:sz w:val="24"/>
          <w:szCs w:val="24"/>
          <w:highlight w:val="none"/>
          <w:u w:val="none"/>
          <w:lang w:val="zh-CN"/>
        </w:rPr>
      </w:pPr>
      <w:r>
        <w:rPr>
          <w:rStyle w:val="13"/>
          <w:rFonts w:hint="eastAsia" w:ascii="Times New Roman" w:hAnsi="Times New Roman" w:eastAsia="宋体" w:cs="Times New Roman"/>
          <w:bCs w:val="0"/>
          <w:color w:val="auto"/>
          <w:sz w:val="24"/>
          <w:szCs w:val="24"/>
          <w:highlight w:val="none"/>
          <w:u w:val="none"/>
          <w:lang w:val="zh-CN"/>
        </w:rPr>
        <w:t>四川能源天府阳光采购服务平台（https://scny.tfygcgfw.com）</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color w:val="auto"/>
          <w:sz w:val="24"/>
          <w:szCs w:val="24"/>
          <w:highlight w:val="none"/>
          <w:u w:val="none"/>
          <w:lang w:val="zh-CN" w:eastAsia="zh"/>
        </w:rPr>
      </w:pPr>
      <w:r>
        <w:rPr>
          <w:rFonts w:hint="eastAsia" w:ascii="Times New Roman" w:hAnsi="Times New Roman" w:eastAsia="宋体" w:cs="Times New Roman"/>
          <w:color w:val="auto"/>
          <w:sz w:val="24"/>
          <w:szCs w:val="24"/>
          <w:highlight w:val="none"/>
          <w:lang w:val="zh-CN"/>
        </w:rPr>
        <w:t>西昌川投大健康科技有限公司外网（http://www.ctghtc.cn/）</w:t>
      </w:r>
      <w:r>
        <w:rPr>
          <w:rFonts w:hint="eastAsia" w:ascii="Times New Roman" w:hAnsi="Times New Roman" w:eastAsia="宋体" w:cs="Times New Roman"/>
          <w:color w:val="auto"/>
          <w:sz w:val="24"/>
          <w:szCs w:val="24"/>
          <w:highlight w:val="none"/>
          <w:lang w:val="zh-CN" w:eastAsia="zh"/>
        </w:rPr>
        <w:t xml:space="preserve">  </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color w:val="auto"/>
          <w:sz w:val="24"/>
          <w:szCs w:val="24"/>
          <w:highlight w:val="none"/>
          <w:lang w:val="zh-CN"/>
        </w:rPr>
        <w:t>川投西昌医院官网（http://www.ctxcyy.cn）</w:t>
      </w:r>
    </w:p>
    <w:p>
      <w:pPr>
        <w:spacing w:line="360" w:lineRule="auto"/>
        <w:rPr>
          <w:b/>
          <w:sz w:val="24"/>
          <w:szCs w:val="24"/>
        </w:rPr>
      </w:pPr>
      <w:r>
        <w:rPr>
          <w:rFonts w:hint="eastAsia"/>
          <w:b/>
          <w:sz w:val="24"/>
          <w:szCs w:val="24"/>
          <w:lang w:val="en-US" w:eastAsia="zh"/>
        </w:rPr>
        <w:t>九</w:t>
      </w:r>
      <w:r>
        <w:rPr>
          <w:rFonts w:hint="eastAsia"/>
          <w:b/>
          <w:sz w:val="24"/>
          <w:szCs w:val="24"/>
        </w:rPr>
        <w:t>、联系方式：</w:t>
      </w:r>
    </w:p>
    <w:p>
      <w:pPr>
        <w:spacing w:line="360" w:lineRule="auto"/>
        <w:ind w:left="424" w:leftChars="202" w:firstLine="1"/>
        <w:rPr>
          <w:rFonts w:hint="eastAsia" w:eastAsia="宋体"/>
          <w:b w:val="0"/>
          <w:bCs/>
          <w:sz w:val="24"/>
          <w:szCs w:val="24"/>
          <w:lang w:eastAsia="zh-CN"/>
        </w:rPr>
      </w:pPr>
      <w:r>
        <w:rPr>
          <w:rFonts w:hint="eastAsia"/>
          <w:b w:val="0"/>
          <w:bCs/>
          <w:sz w:val="24"/>
          <w:szCs w:val="24"/>
        </w:rPr>
        <w:t>采 购 人：</w:t>
      </w:r>
      <w:r>
        <w:rPr>
          <w:rFonts w:hint="eastAsia"/>
          <w:b w:val="0"/>
          <w:bCs/>
          <w:sz w:val="24"/>
          <w:szCs w:val="24"/>
          <w:lang w:val="en-US" w:eastAsia="zh-CN"/>
        </w:rPr>
        <w:t xml:space="preserve"> </w:t>
      </w:r>
      <w:r>
        <w:rPr>
          <w:rStyle w:val="13"/>
          <w:rFonts w:hint="eastAsia" w:ascii="Times New Roman" w:hAnsi="Times New Roman" w:eastAsia="宋体" w:cs="Times New Roman"/>
          <w:bCs/>
          <w:color w:val="auto"/>
          <w:sz w:val="24"/>
          <w:szCs w:val="24"/>
          <w:highlight w:val="none"/>
          <w:u w:val="none"/>
          <w:lang w:val="zh-CN"/>
        </w:rPr>
        <w:t>西昌川投大健康科技有限公司</w:t>
      </w:r>
    </w:p>
    <w:p>
      <w:pPr>
        <w:tabs>
          <w:tab w:val="center" w:pos="4563"/>
        </w:tabs>
        <w:spacing w:line="360" w:lineRule="auto"/>
        <w:ind w:firstLine="424" w:firstLineChars="177"/>
        <w:jc w:val="left"/>
        <w:rPr>
          <w:rFonts w:hint="eastAsia" w:eastAsia="宋体"/>
          <w:sz w:val="24"/>
          <w:szCs w:val="24"/>
          <w:lang w:eastAsia="zh-CN"/>
        </w:rPr>
      </w:pPr>
      <w:r>
        <w:rPr>
          <w:rFonts w:hint="eastAsia"/>
          <w:sz w:val="24"/>
          <w:szCs w:val="24"/>
        </w:rPr>
        <w:t>地    址：</w:t>
      </w:r>
      <w:r>
        <w:rPr>
          <w:rFonts w:hint="eastAsia"/>
          <w:bCs/>
          <w:sz w:val="24"/>
          <w:lang w:val="en-US" w:eastAsia="zh-CN"/>
        </w:rPr>
        <w:t xml:space="preserve"> </w:t>
      </w:r>
      <w:r>
        <w:rPr>
          <w:rStyle w:val="13"/>
          <w:rFonts w:hint="eastAsia" w:ascii="Times New Roman" w:hAnsi="Times New Roman" w:eastAsia="宋体" w:cs="Times New Roman"/>
          <w:bCs/>
          <w:color w:val="auto"/>
          <w:sz w:val="24"/>
          <w:szCs w:val="24"/>
          <w:highlight w:val="none"/>
          <w:u w:val="none"/>
          <w:lang w:val="zh-CN"/>
        </w:rPr>
        <w:t>西昌市朝阳东路 1 号川投西昌医院</w:t>
      </w:r>
    </w:p>
    <w:p>
      <w:pPr>
        <w:tabs>
          <w:tab w:val="center" w:pos="4563"/>
        </w:tabs>
        <w:spacing w:line="360" w:lineRule="auto"/>
        <w:ind w:firstLine="424" w:firstLineChars="177"/>
        <w:jc w:val="left"/>
        <w:rPr>
          <w:rFonts w:hint="eastAsia"/>
          <w:sz w:val="24"/>
          <w:szCs w:val="24"/>
          <w:highlight w:val="none"/>
          <w:lang w:eastAsia="zh"/>
        </w:rPr>
      </w:pPr>
      <w:r>
        <w:rPr>
          <w:rFonts w:hint="eastAsia"/>
          <w:sz w:val="24"/>
          <w:szCs w:val="24"/>
          <w:highlight w:val="none"/>
        </w:rPr>
        <w:t>联 系 人：</w:t>
      </w:r>
      <w:r>
        <w:rPr>
          <w:rFonts w:hint="eastAsia"/>
          <w:sz w:val="24"/>
          <w:szCs w:val="24"/>
          <w:highlight w:val="none"/>
          <w:lang w:val="en-US" w:eastAsia="zh-CN"/>
        </w:rPr>
        <w:t>杨老师</w:t>
      </w:r>
    </w:p>
    <w:p>
      <w:pPr>
        <w:tabs>
          <w:tab w:val="center" w:pos="4563"/>
        </w:tabs>
        <w:spacing w:line="360" w:lineRule="auto"/>
        <w:ind w:firstLine="424" w:firstLineChars="177"/>
        <w:jc w:val="left"/>
        <w:rPr>
          <w:rFonts w:hint="eastAsia" w:eastAsia="宋体"/>
          <w:color w:val="000000"/>
          <w:sz w:val="24"/>
          <w:szCs w:val="24"/>
          <w:lang w:val="en-US" w:eastAsia="zh-CN"/>
        </w:rPr>
      </w:pPr>
      <w:r>
        <w:rPr>
          <w:rFonts w:hint="eastAsia"/>
          <w:color w:val="000000"/>
          <w:sz w:val="24"/>
          <w:szCs w:val="24"/>
        </w:rPr>
        <w:t>联系电话：</w:t>
      </w:r>
      <w:r>
        <w:rPr>
          <w:rStyle w:val="13"/>
          <w:rFonts w:hint="eastAsia" w:ascii="Times New Roman" w:hAnsi="Times New Roman" w:eastAsia="宋体" w:cs="Times New Roman"/>
          <w:bCs/>
          <w:color w:val="auto"/>
          <w:sz w:val="24"/>
          <w:szCs w:val="24"/>
          <w:highlight w:val="none"/>
          <w:u w:val="none"/>
          <w:lang w:val="zh-CN"/>
        </w:rPr>
        <w:t>0834-6999550</w:t>
      </w:r>
      <w:r>
        <w:rPr>
          <w:rFonts w:hint="eastAsia" w:ascii="Times New Roman" w:hAnsi="Times New Roman" w:eastAsia="宋体" w:cs="Times New Roman"/>
          <w:bCs/>
          <w:color w:val="000000"/>
          <w:sz w:val="24"/>
          <w:szCs w:val="24"/>
          <w:lang w:val="zh-CN" w:eastAsia="zh-CN"/>
        </w:rPr>
        <w:t xml:space="preserve"> </w:t>
      </w:r>
      <w:r>
        <w:rPr>
          <w:rFonts w:hint="eastAsia"/>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lef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Times">
    <w:altName w:val="Times New Roman"/>
    <w:panose1 w:val="020206030504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548B5"/>
    <w:rsid w:val="0763442C"/>
    <w:rsid w:val="0A5F0C62"/>
    <w:rsid w:val="0B786E60"/>
    <w:rsid w:val="0D6D7AC5"/>
    <w:rsid w:val="0F0B2F84"/>
    <w:rsid w:val="124B0112"/>
    <w:rsid w:val="14B20501"/>
    <w:rsid w:val="171B24D2"/>
    <w:rsid w:val="17E064BA"/>
    <w:rsid w:val="1C1C0DAE"/>
    <w:rsid w:val="1DD016F9"/>
    <w:rsid w:val="224153BF"/>
    <w:rsid w:val="24DF0C21"/>
    <w:rsid w:val="2503524D"/>
    <w:rsid w:val="25A634D3"/>
    <w:rsid w:val="28F3021F"/>
    <w:rsid w:val="2AC327A6"/>
    <w:rsid w:val="313F5CD8"/>
    <w:rsid w:val="320E092F"/>
    <w:rsid w:val="32DA34FB"/>
    <w:rsid w:val="32FE2435"/>
    <w:rsid w:val="35D3288A"/>
    <w:rsid w:val="36890788"/>
    <w:rsid w:val="3B83700D"/>
    <w:rsid w:val="40225A46"/>
    <w:rsid w:val="40670739"/>
    <w:rsid w:val="41684632"/>
    <w:rsid w:val="43B06F1C"/>
    <w:rsid w:val="44F60E52"/>
    <w:rsid w:val="45B914F0"/>
    <w:rsid w:val="45F70D32"/>
    <w:rsid w:val="485E6527"/>
    <w:rsid w:val="4888388C"/>
    <w:rsid w:val="48C0506B"/>
    <w:rsid w:val="49935043"/>
    <w:rsid w:val="49FD2F39"/>
    <w:rsid w:val="4ABA265F"/>
    <w:rsid w:val="4B8200F7"/>
    <w:rsid w:val="4BA000EC"/>
    <w:rsid w:val="4C827C94"/>
    <w:rsid w:val="4DF61D74"/>
    <w:rsid w:val="4FF572BC"/>
    <w:rsid w:val="51B30516"/>
    <w:rsid w:val="52C2629D"/>
    <w:rsid w:val="551B7DE0"/>
    <w:rsid w:val="56DE4C90"/>
    <w:rsid w:val="5A1225D4"/>
    <w:rsid w:val="5D820C77"/>
    <w:rsid w:val="5ECF4EAF"/>
    <w:rsid w:val="606C4A0B"/>
    <w:rsid w:val="630B7D56"/>
    <w:rsid w:val="64BA6B71"/>
    <w:rsid w:val="66EE1D02"/>
    <w:rsid w:val="672B1A53"/>
    <w:rsid w:val="6A202D2A"/>
    <w:rsid w:val="6B626839"/>
    <w:rsid w:val="6D8F71CE"/>
    <w:rsid w:val="6ED91B77"/>
    <w:rsid w:val="700233CF"/>
    <w:rsid w:val="70767A35"/>
    <w:rsid w:val="714222DC"/>
    <w:rsid w:val="74622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ascii="Calibri" w:hAnsi="Calibri" w:cs="宋体"/>
      <w:b/>
      <w:bCs/>
      <w:kern w:val="44"/>
      <w:sz w:val="44"/>
      <w:szCs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5">
    <w:name w:val="Body Text Indent"/>
    <w:basedOn w:val="1"/>
    <w:unhideWhenUsed/>
    <w:qFormat/>
    <w:uiPriority w:val="99"/>
    <w:pPr>
      <w:spacing w:after="120"/>
      <w:ind w:left="420" w:leftChars="200"/>
    </w:pPr>
    <w:rPr>
      <w:szCs w:val="20"/>
    </w:rPr>
  </w:style>
  <w:style w:type="paragraph" w:styleId="6">
    <w:name w:val="Body Text Indent 2"/>
    <w:basedOn w:val="1"/>
    <w:qFormat/>
    <w:uiPriority w:val="0"/>
    <w:pPr>
      <w:spacing w:after="120" w:line="480" w:lineRule="auto"/>
      <w:ind w:left="420" w:leftChars="200"/>
    </w:pPr>
  </w:style>
  <w:style w:type="paragraph" w:styleId="7">
    <w:name w:val="footer"/>
    <w:basedOn w:val="1"/>
    <w:qFormat/>
    <w:uiPriority w:val="99"/>
    <w:pPr>
      <w:tabs>
        <w:tab w:val="center" w:pos="4153"/>
        <w:tab w:val="center" w:pos="4320"/>
        <w:tab w:val="right" w:pos="8306"/>
        <w:tab w:val="right" w:pos="8640"/>
      </w:tabs>
      <w:snapToGrid w:val="0"/>
      <w:jc w:val="left"/>
    </w:pPr>
    <w:rPr>
      <w:sz w:val="18"/>
      <w:szCs w:val="18"/>
    </w:rPr>
  </w:style>
  <w:style w:type="paragraph" w:styleId="8">
    <w:name w:val="Title"/>
    <w:basedOn w:val="1"/>
    <w:qFormat/>
    <w:uiPriority w:val="0"/>
    <w:pPr>
      <w:spacing w:before="240" w:after="60"/>
      <w:jc w:val="center"/>
      <w:outlineLvl w:val="0"/>
    </w:pPr>
    <w:rPr>
      <w:rFonts w:ascii="Arial" w:hAnsi="Arial"/>
      <w:b/>
      <w:bCs/>
      <w:sz w:val="32"/>
      <w:szCs w:val="32"/>
    </w:rPr>
  </w:style>
  <w:style w:type="paragraph" w:styleId="9">
    <w:name w:val="Body Text First Indent 2"/>
    <w:basedOn w:val="5"/>
    <w:unhideWhenUsed/>
    <w:qFormat/>
    <w:uiPriority w:val="99"/>
    <w:pPr>
      <w:ind w:firstLine="420" w:firstLineChars="200"/>
    </w:pPr>
  </w:style>
  <w:style w:type="character" w:styleId="12">
    <w:name w:val="Strong"/>
    <w:qFormat/>
    <w:uiPriority w:val="0"/>
    <w:rPr>
      <w:b/>
    </w:rPr>
  </w:style>
  <w:style w:type="character" w:styleId="13">
    <w:name w:val="Hyperlink"/>
    <w:unhideWhenUsed/>
    <w:qFormat/>
    <w:uiPriority w:val="99"/>
    <w:rPr>
      <w:color w:val="0000FF"/>
      <w:u w:val="single"/>
    </w:rPr>
  </w:style>
  <w:style w:type="paragraph" w:customStyle="1" w:styleId="14">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15">
    <w:name w:val="頁首基準"/>
    <w:basedOn w:val="1"/>
    <w:qFormat/>
    <w:uiPriority w:val="0"/>
    <w:pPr>
      <w:keepLines/>
      <w:widowControl/>
      <w:tabs>
        <w:tab w:val="center" w:pos="4320"/>
        <w:tab w:val="right" w:pos="8640"/>
      </w:tabs>
      <w:overflowPunct w:val="0"/>
      <w:autoSpaceDE w:val="0"/>
      <w:autoSpaceDN w:val="0"/>
      <w:adjustRightInd w:val="0"/>
      <w:spacing w:line="190" w:lineRule="atLeast"/>
      <w:jc w:val="left"/>
      <w:textAlignment w:val="baseline"/>
    </w:pPr>
    <w:rPr>
      <w:rFonts w:ascii="Arial" w:hAnsi="Arial" w:eastAsia="PMingLiU"/>
      <w:caps/>
      <w:sz w:val="15"/>
      <w:lang w:eastAsia="zh-TW"/>
    </w:rPr>
  </w:style>
  <w:style w:type="paragraph" w:customStyle="1" w:styleId="16">
    <w:name w:val="表格文字"/>
    <w:basedOn w:val="1"/>
    <w:qFormat/>
    <w:uiPriority w:val="0"/>
    <w:pPr>
      <w:spacing w:before="25" w:after="25"/>
      <w:jc w:val="left"/>
    </w:pPr>
    <w:rPr>
      <w:bCs/>
      <w:spacing w:val="1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2024-12-17T08:48:00Z</dcterms:created>
  <dc:creator>A</dc:creator>
  <cp:lastModifiedBy>杨君</cp:lastModifiedBy>
  <dcterms:modified xsi:type="dcterms:W3CDTF">2026-08-20T09:42:52Z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E71C5CC3B43442AC95F1AA702DA845E1</vt:lpwstr>
  </property>
</Properties>
</file>